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51af" w14:textId="3f45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"Органикалық өнім өндіру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15-05/1139 және Қазақстан Республикасы Ұлттық экономика министрінің 2015 жылғы 29 желтоқсандағы № 818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2023 жылғы 9 маусымдағы № 223 және Қазақстан Республикасы Ұлттық экономика министрінің 2023 жылғы 12 маусымдағы № 103 бірлескен бұйрығы. Қазақстан Республикасының Әділет министрлігінде 2023 жылғы 12 маусымда № 32765 болып тіркелді. Күші жойылды - Қазақстан Республикасы Ауыл шаруашылығы министрінің м.а. 2024 жылғы 21 тамыздағы № 281 және Қазақстан Республикасы Премьер-Министрінің орынбасары – Ұлттық экономика министрінің 2024 жылғы 23 тамыздағы № 67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м.а. 21.08.2024 </w:t>
      </w:r>
      <w:r>
        <w:rPr>
          <w:rFonts w:ascii="Times New Roman"/>
          <w:b w:val="false"/>
          <w:i w:val="false"/>
          <w:color w:val="ff0000"/>
          <w:sz w:val="28"/>
        </w:rPr>
        <w:t>№ 281</w:t>
      </w:r>
      <w:r>
        <w:rPr>
          <w:rFonts w:ascii="Times New Roman"/>
          <w:b w:val="false"/>
          <w:i w:val="false"/>
          <w:color w:val="ff0000"/>
          <w:sz w:val="28"/>
        </w:rPr>
        <w:t xml:space="preserve"> және ҚР Премьер-Министрінің орынбасары – Ұлттық экономика министрінің 23.08.2024 № 67 (12.12.2024 бастап қолданысқа енгізіледі) бірлескен бұйрығымен.</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"Органикалық өнім өндіру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15-05/1139 және Қазақстан Республикасы Ұлттық экономика министрінің 2015 жылғы 29 желтоқсандағы № 818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12738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xml:space="preserve">
      2) осы бірлескен бұйрықтың Қазақстан Республикасы Ауыл шаруашылығы министрлігінің интернет-ресурсында орналастырылуын қамтамасыз етсін. </w:t>
      </w:r>
    </w:p>
    <w:bookmarkEnd w:id="5"/>
    <w:bookmarkStart w:name="z8"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__________А. Куантыров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РеспубликасыАуыл шаруашылығы министрі__________Е.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103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223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818 бірлескен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Органикалық өнім өндіру саласындағы тәуекел дәрежесін бағалау өлшемшарттары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Органикалық өнім өндіру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бақылау субъектісіне (объектісіне) бара отырып профилактикалық бақылауды жүргізу үшін органикалық өнім өндіру саласындағы бақылау субъектілерін (объектілерін) тәуекел дәрежелеріне жатқызу мақсатында әзірленді.</w:t>
      </w:r>
    </w:p>
    <w:bookmarkEnd w:id="10"/>
    <w:bookmarkStart w:name="z14" w:id="11"/>
    <w:p>
      <w:pPr>
        <w:spacing w:after="0"/>
        <w:ind w:left="0"/>
        <w:jc w:val="both"/>
      </w:pPr>
      <w:r>
        <w:rPr>
          <w:rFonts w:ascii="Times New Roman"/>
          <w:b w:val="false"/>
          <w:i w:val="false"/>
          <w:color w:val="000000"/>
          <w:sz w:val="28"/>
        </w:rPr>
        <w:t>
      2. Осы Өлшемшарттарда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балл – тәуекелді есептеудің сандық өлшемі;</w:t>
      </w:r>
    </w:p>
    <w:bookmarkEnd w:id="12"/>
    <w:bookmarkStart w:name="z16" w:id="13"/>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сәйкес келтіруді көздейтін статистикалық рәсім;</w:t>
      </w:r>
    </w:p>
    <w:bookmarkEnd w:id="13"/>
    <w:bookmarkStart w:name="z17" w:id="14"/>
    <w:p>
      <w:pPr>
        <w:spacing w:after="0"/>
        <w:ind w:left="0"/>
        <w:jc w:val="both"/>
      </w:pPr>
      <w:r>
        <w:rPr>
          <w:rFonts w:ascii="Times New Roman"/>
          <w:b w:val="false"/>
          <w:i w:val="false"/>
          <w:color w:val="000000"/>
          <w:sz w:val="28"/>
        </w:rPr>
        <w:t xml:space="preserve">
      3) бақылау субъектісі (объектісі) – органикалық өнім өндіру қызметін жүзеге асыратын жеке немесе заңды тұлғалар; </w:t>
      </w:r>
    </w:p>
    <w:bookmarkEnd w:id="14"/>
    <w:bookmarkStart w:name="z18" w:id="15"/>
    <w:p>
      <w:pPr>
        <w:spacing w:after="0"/>
        <w:ind w:left="0"/>
        <w:jc w:val="both"/>
      </w:pPr>
      <w:r>
        <w:rPr>
          <w:rFonts w:ascii="Times New Roman"/>
          <w:b w:val="false"/>
          <w:i w:val="false"/>
          <w:color w:val="000000"/>
          <w:sz w:val="28"/>
        </w:rPr>
        <w:t xml:space="preserve">
      4) болмашы бұзушылық – елеулі, өрескел бұзушылыққа жатқызылмаған, органикалық өнім өндіру саласындағы нормативтік құқықтық актілерде белгіленген талаптарды бұзу, оның ішінде тиісті қора-жайлармен және жануарларды жаю жағдайларымен қамтамасыз ету бойынша талаптарды бұзу; </w:t>
      </w:r>
    </w:p>
    <w:bookmarkEnd w:id="15"/>
    <w:bookmarkStart w:name="z19" w:id="16"/>
    <w:p>
      <w:pPr>
        <w:spacing w:after="0"/>
        <w:ind w:left="0"/>
        <w:jc w:val="both"/>
      </w:pPr>
      <w:r>
        <w:rPr>
          <w:rFonts w:ascii="Times New Roman"/>
          <w:b w:val="false"/>
          <w:i w:val="false"/>
          <w:color w:val="000000"/>
          <w:sz w:val="28"/>
        </w:rPr>
        <w:t>
      5) елеулі бұзушылық – органикалық өнім өндіру саласындағы нормативтік құқықтық актілерде белгіленген талаптарды өсімдіктерден және жануарлардан алынатын қалдықтарды және жанама өнімдерді кәдеге жарату бөлігінде бұзу;</w:t>
      </w:r>
    </w:p>
    <w:bookmarkEnd w:id="16"/>
    <w:bookmarkStart w:name="z20" w:id="17"/>
    <w:p>
      <w:pPr>
        <w:spacing w:after="0"/>
        <w:ind w:left="0"/>
        <w:jc w:val="both"/>
      </w:pPr>
      <w:r>
        <w:rPr>
          <w:rFonts w:ascii="Times New Roman"/>
          <w:b w:val="false"/>
          <w:i w:val="false"/>
          <w:color w:val="000000"/>
          <w:sz w:val="28"/>
        </w:rPr>
        <w:t>
      6) өрескел бұзушылық – халық денсаулығының нашарлауына алып келуі мүмкін органикалық өнім өндіру саласындағы нормативтік құқықтық актілерде белгіленген талаптарды бұзу, атап айтқанда гендік түрлендірілген объектілерді қолдану, пестицидтерді (улы химикаттарды) қолдану, сондай-ақ ауру жануарлар мен залалданған өсімдіктерді, жануарлардан және өсімдіктерден алынған қауіпті өнім мен шикізатты пайдалану;</w:t>
      </w:r>
    </w:p>
    <w:bookmarkEnd w:id="17"/>
    <w:bookmarkStart w:name="z21" w:id="18"/>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8"/>
    <w:bookmarkStart w:name="z22" w:id="19"/>
    <w:p>
      <w:pPr>
        <w:spacing w:after="0"/>
        <w:ind w:left="0"/>
        <w:jc w:val="both"/>
      </w:pPr>
      <w:r>
        <w:rPr>
          <w:rFonts w:ascii="Times New Roman"/>
          <w:b w:val="false"/>
          <w:i w:val="false"/>
          <w:color w:val="000000"/>
          <w:sz w:val="28"/>
        </w:rPr>
        <w:t>
      8) тәуекелдерді бағалау және басқару жүйесі – органикалық өнім өндіру саласында тәуекелдің жол берілетін деңгейін қамтамасыз ете отырып, кәсіпкерлік еркіндігін ең төменгі ықтимал дәрежеде шектеу мақсатында кейін бақылау субъектісіне (объектісіне) бара отырып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(немесе) мұндай бақылау субъектісін (объектісін) бақылау субъектісіне (объектісіне) бара отырып профилактикалық бақылаудан босатуға бағытталған басқарушылық шешімдерді қабылдау процесі;</w:t>
      </w:r>
    </w:p>
    <w:bookmarkEnd w:id="19"/>
    <w:bookmarkStart w:name="z23" w:id="20"/>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0"/>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Start w:name="z24" w:id="21"/>
    <w:p>
      <w:pPr>
        <w:spacing w:after="0"/>
        <w:ind w:left="0"/>
        <w:jc w:val="both"/>
      </w:pPr>
      <w:r>
        <w:rPr>
          <w:rFonts w:ascii="Times New Roman"/>
          <w:b w:val="false"/>
          <w:i w:val="false"/>
          <w:color w:val="000000"/>
          <w:sz w:val="28"/>
        </w:rPr>
        <w:t>
      11) тәуекел дәрежесін бағалаудың объективті өлшемшарттары (бұдан әрі – объективті өлшемшарттар) – органикалық өнім өндіру саласындағы бақылау субъектілерін (объектілерін) іріктеу үшін пайдаланылатын және жеке бақылау субъектісіне (объектісіне) тікелей тәуелді емес тәуекел дәрежесін бағалау өлшемшарттары;</w:t>
      </w:r>
    </w:p>
    <w:bookmarkEnd w:id="21"/>
    <w:bookmarkStart w:name="z25" w:id="22"/>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нақты мемлекеттік бақылау саласында бақылау субъектілерінің (объектілерінің) біртекті тобына жатқызылатын бағаланатын субъектілердің (объектілердің) тізбесі.</w:t>
      </w:r>
    </w:p>
    <w:bookmarkEnd w:id="22"/>
    <w:bookmarkStart w:name="z26" w:id="23"/>
    <w:p>
      <w:pPr>
        <w:spacing w:after="0"/>
        <w:ind w:left="0"/>
        <w:jc w:val="left"/>
      </w:pPr>
      <w:r>
        <w:rPr>
          <w:rFonts w:ascii="Times New Roman"/>
          <w:b/>
          <w:i w:val="false"/>
          <w:color w:val="000000"/>
        </w:rPr>
        <w:t xml:space="preserve"> 2-тарау. Бақылау субъектілерінің (объектілерінің) профилактикалық бақылау жүргізу кезінде тәуекелдерді бағалау және басқару жүйесін қалыптастыру тәртібі</w:t>
      </w:r>
    </w:p>
    <w:bookmarkEnd w:id="23"/>
    <w:bookmarkStart w:name="z27" w:id="24"/>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жүзеге асыру кезінде бақылау субъектілеріне (объектілеріне) профилактикалық бақылау жүргізу үшін тәуекел дәрежесін бағалау өлшемшарттары кезең кезеңмен жүзеге асырылатын (шешімдерді мультиөлшемшартты талдау) объективті және субъективті өлшемшарттарды айқындау арқылы қалыптастырылады.</w:t>
      </w:r>
    </w:p>
    <w:bookmarkEnd w:id="24"/>
    <w:p>
      <w:pPr>
        <w:spacing w:after="0"/>
        <w:ind w:left="0"/>
        <w:jc w:val="both"/>
      </w:pPr>
      <w:r>
        <w:rPr>
          <w:rFonts w:ascii="Times New Roman"/>
          <w:b w:val="false"/>
          <w:i w:val="false"/>
          <w:color w:val="000000"/>
          <w:sz w:val="28"/>
        </w:rPr>
        <w:t>
      Бірінші кезеңде тәуекел дәрежесін бағалаудың объективті өлшемшарттары бойынша бақылау субъектілері (объектілері) тәуекелдің жоғары дәрежесіне жатқызылады.</w:t>
      </w:r>
    </w:p>
    <w:p>
      <w:pPr>
        <w:spacing w:after="0"/>
        <w:ind w:left="0"/>
        <w:jc w:val="both"/>
      </w:pPr>
      <w:r>
        <w:rPr>
          <w:rFonts w:ascii="Times New Roman"/>
          <w:b w:val="false"/>
          <w:i w:val="false"/>
          <w:color w:val="000000"/>
          <w:sz w:val="28"/>
        </w:rPr>
        <w:t>
      Тәуекелдің жоғары дәрежесіне жатқызылған бақылау субъектілеріне (объектілеріне) қатысты бақылау субъектісіне (объектісіне) бара отырып профилактикалық бақылау, жоспардан тыс тексеру жүргізіледі.</w:t>
      </w:r>
    </w:p>
    <w:bookmarkStart w:name="z28" w:id="25"/>
    <w:p>
      <w:pPr>
        <w:spacing w:after="0"/>
        <w:ind w:left="0"/>
        <w:jc w:val="both"/>
      </w:pPr>
      <w:r>
        <w:rPr>
          <w:rFonts w:ascii="Times New Roman"/>
          <w:b w:val="false"/>
          <w:i w:val="false"/>
          <w:color w:val="000000"/>
          <w:sz w:val="28"/>
        </w:rPr>
        <w:t>
      4. Екінші кезеңде тәуекел дәрежесін бағалаудың субъективті өлшемшарттары бойынша бақылау субъектілері (объектілері) тәуекел дәрежесінің көрсеткіші 71-ден 100-ді қоса алғанға дейін болған кезде тәуекелдің жоғары дәрежесіне жатқызылады.</w:t>
      </w:r>
    </w:p>
    <w:bookmarkEnd w:id="25"/>
    <w:bookmarkStart w:name="z29" w:id="26"/>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жүйелілігіне,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26"/>
    <w:p>
      <w:pPr>
        <w:spacing w:after="0"/>
        <w:ind w:left="0"/>
        <w:jc w:val="both"/>
      </w:pPr>
      <w:r>
        <w:rPr>
          <w:rFonts w:ascii="Times New Roman"/>
          <w:b w:val="false"/>
          <w:i w:val="false"/>
          <w:color w:val="000000"/>
          <w:sz w:val="28"/>
        </w:rPr>
        <w:t xml:space="preserve">
      Органикалық өнім өндіру саласындағы талаптардын бұзушылық дәрежесі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айқындалады. </w:t>
      </w:r>
    </w:p>
    <w:bookmarkStart w:name="z30" w:id="27"/>
    <w:p>
      <w:pPr>
        <w:spacing w:after="0"/>
        <w:ind w:left="0"/>
        <w:jc w:val="both"/>
      </w:pPr>
      <w:r>
        <w:rPr>
          <w:rFonts w:ascii="Times New Roman"/>
          <w:b w:val="false"/>
          <w:i w:val="false"/>
          <w:color w:val="000000"/>
          <w:sz w:val="28"/>
        </w:rPr>
        <w:t>
      6.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7"/>
    <w:bookmarkStart w:name="z31" w:id="28"/>
    <w:p>
      <w:pPr>
        <w:spacing w:after="0"/>
        <w:ind w:left="0"/>
        <w:jc w:val="left"/>
      </w:pPr>
      <w:r>
        <w:rPr>
          <w:rFonts w:ascii="Times New Roman"/>
          <w:b/>
          <w:i w:val="false"/>
          <w:color w:val="000000"/>
        </w:rPr>
        <w:t xml:space="preserve"> 1-параграф. Объективті өлшемшарттар</w:t>
      </w:r>
    </w:p>
    <w:bookmarkEnd w:id="28"/>
    <w:bookmarkStart w:name="z32" w:id="29"/>
    <w:p>
      <w:pPr>
        <w:spacing w:after="0"/>
        <w:ind w:left="0"/>
        <w:jc w:val="both"/>
      </w:pPr>
      <w:r>
        <w:rPr>
          <w:rFonts w:ascii="Times New Roman"/>
          <w:b w:val="false"/>
          <w:i w:val="false"/>
          <w:color w:val="000000"/>
          <w:sz w:val="28"/>
        </w:rPr>
        <w:t>
      7. Объективті өлшемшарттар бойынша органикалық өнім өндіру саласындағы тәуекелі жоғары бақылау субъектілеріне (объектілеріне) мыналар жатады:</w:t>
      </w:r>
    </w:p>
    <w:bookmarkEnd w:id="29"/>
    <w:bookmarkStart w:name="z33" w:id="30"/>
    <w:p>
      <w:pPr>
        <w:spacing w:after="0"/>
        <w:ind w:left="0"/>
        <w:jc w:val="both"/>
      </w:pPr>
      <w:r>
        <w:rPr>
          <w:rFonts w:ascii="Times New Roman"/>
          <w:b w:val="false"/>
          <w:i w:val="false"/>
          <w:color w:val="000000"/>
          <w:sz w:val="28"/>
        </w:rPr>
        <w:t>
      1) органикалық өсімдік шаруашылығындағы қызметті жүзеге асыратын бақылау субъектілері (объектілері);</w:t>
      </w:r>
    </w:p>
    <w:bookmarkEnd w:id="30"/>
    <w:bookmarkStart w:name="z34" w:id="31"/>
    <w:p>
      <w:pPr>
        <w:spacing w:after="0"/>
        <w:ind w:left="0"/>
        <w:jc w:val="both"/>
      </w:pPr>
      <w:r>
        <w:rPr>
          <w:rFonts w:ascii="Times New Roman"/>
          <w:b w:val="false"/>
          <w:i w:val="false"/>
          <w:color w:val="000000"/>
          <w:sz w:val="28"/>
        </w:rPr>
        <w:t>
      2) органикалық мал шаруашылығындағы қызметті жүзеге асыратын бақылау субъектілері (объектілері).</w:t>
      </w:r>
    </w:p>
    <w:bookmarkEnd w:id="31"/>
    <w:bookmarkStart w:name="z35" w:id="32"/>
    <w:p>
      <w:pPr>
        <w:spacing w:after="0"/>
        <w:ind w:left="0"/>
        <w:jc w:val="left"/>
      </w:pPr>
      <w:r>
        <w:rPr>
          <w:rFonts w:ascii="Times New Roman"/>
          <w:b/>
          <w:i w:val="false"/>
          <w:color w:val="000000"/>
        </w:rPr>
        <w:t xml:space="preserve"> 2-параграф. Субъективті өлшемшарттар</w:t>
      </w:r>
    </w:p>
    <w:bookmarkEnd w:id="32"/>
    <w:bookmarkStart w:name="z36" w:id="33"/>
    <w:p>
      <w:pPr>
        <w:spacing w:after="0"/>
        <w:ind w:left="0"/>
        <w:jc w:val="both"/>
      </w:pPr>
      <w:r>
        <w:rPr>
          <w:rFonts w:ascii="Times New Roman"/>
          <w:b w:val="false"/>
          <w:i w:val="false"/>
          <w:color w:val="000000"/>
          <w:sz w:val="28"/>
        </w:rPr>
        <w:t xml:space="preserve">
      8. Субъективті өлшемшерттарды айқындау мынадай кезеңдерді қолдана отырып жүзеге асырылады: </w:t>
      </w:r>
    </w:p>
    <w:bookmarkEnd w:id="33"/>
    <w:p>
      <w:pPr>
        <w:spacing w:after="0"/>
        <w:ind w:left="0"/>
        <w:jc w:val="both"/>
      </w:pPr>
      <w:r>
        <w:rPr>
          <w:rFonts w:ascii="Times New Roman"/>
          <w:b w:val="false"/>
          <w:i w:val="false"/>
          <w:color w:val="000000"/>
          <w:sz w:val="28"/>
        </w:rPr>
        <w:t>
      1) дерекқорларды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37" w:id="34"/>
    <w:p>
      <w:pPr>
        <w:spacing w:after="0"/>
        <w:ind w:left="0"/>
        <w:jc w:val="both"/>
      </w:pPr>
      <w:r>
        <w:rPr>
          <w:rFonts w:ascii="Times New Roman"/>
          <w:b w:val="false"/>
          <w:i w:val="false"/>
          <w:color w:val="000000"/>
          <w:sz w:val="28"/>
        </w:rPr>
        <w:t>
      9. Бақылау субъектілерін (объектілерін) анықтау үшін дерекқорды қалыптастыру және ақпарат жинау қажет.</w:t>
      </w:r>
    </w:p>
    <w:bookmarkEnd w:id="34"/>
    <w:p>
      <w:pPr>
        <w:spacing w:after="0"/>
        <w:ind w:left="0"/>
        <w:jc w:val="both"/>
      </w:pPr>
      <w:r>
        <w:rPr>
          <w:rFonts w:ascii="Times New Roman"/>
          <w:b w:val="false"/>
          <w:i w:val="false"/>
          <w:color w:val="000000"/>
          <w:sz w:val="28"/>
        </w:rPr>
        <w:t>
      Бақылау субъектісіне (объектісіне) бара отырып профилактикалық бақылау жүргізу үшін субъективті өлшемшарттар бойынша тәуекел дәрежесін бағалау үшін алдыңғы тексерулердің және бақылау субъектілеріне (объектілеріне) бара отырып жүргізілген профилактикалық бақылаудың нәтижелері пайдаланылады.</w:t>
      </w:r>
    </w:p>
    <w:bookmarkStart w:name="z38" w:id="35"/>
    <w:p>
      <w:pPr>
        <w:spacing w:after="0"/>
        <w:ind w:left="0"/>
        <w:jc w:val="both"/>
      </w:pPr>
      <w:r>
        <w:rPr>
          <w:rFonts w:ascii="Times New Roman"/>
          <w:b w:val="false"/>
          <w:i w:val="false"/>
          <w:color w:val="000000"/>
          <w:sz w:val="28"/>
        </w:rPr>
        <w:t>
      10. Қолда бар ақпарат көздерінің негізінде талдауға және бағалаула жататын субъективті өлшемшарттар бойынша деректер қалыптастырылады.</w:t>
      </w:r>
    </w:p>
    <w:bookmarkEnd w:id="35"/>
    <w:p>
      <w:pPr>
        <w:spacing w:after="0"/>
        <w:ind w:left="0"/>
        <w:jc w:val="both"/>
      </w:pPr>
      <w:r>
        <w:rPr>
          <w:rFonts w:ascii="Times New Roman"/>
          <w:b w:val="false"/>
          <w:i w:val="false"/>
          <w:color w:val="000000"/>
          <w:sz w:val="28"/>
        </w:rPr>
        <w:t>
      Субъективті өлшемшарттарды талдау және бағалау әлеуетті тәуекелі ең жоғары бақылау субъектісіне (объектісіне) қатысты бақылау субъектісіне (объектісіне) профилактикалық бақылау жүргізуді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арналған тізімдерді қалыптастыру кезінде оларды қосуға жол берілмейді.</w:t>
      </w:r>
    </w:p>
    <w:bookmarkStart w:name="z39" w:id="36"/>
    <w:p>
      <w:pPr>
        <w:spacing w:after="0"/>
        <w:ind w:left="0"/>
        <w:jc w:val="both"/>
      </w:pPr>
      <w:r>
        <w:rPr>
          <w:rFonts w:ascii="Times New Roman"/>
          <w:b w:val="false"/>
          <w:i w:val="false"/>
          <w:color w:val="000000"/>
          <w:sz w:val="28"/>
        </w:rPr>
        <w:t>
      11.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36"/>
    <w:bookmarkStart w:name="z40" w:id="37"/>
    <w:p>
      <w:pPr>
        <w:spacing w:after="0"/>
        <w:ind w:left="0"/>
        <w:jc w:val="left"/>
      </w:pPr>
      <w:r>
        <w:rPr>
          <w:rFonts w:ascii="Times New Roman"/>
          <w:b/>
          <w:i w:val="false"/>
          <w:color w:val="000000"/>
        </w:rPr>
        <w:t xml:space="preserve"> 3-параграф. Тәуекелдерді басқару</w:t>
      </w:r>
    </w:p>
    <w:bookmarkEnd w:id="37"/>
    <w:bookmarkStart w:name="z41" w:id="38"/>
    <w:p>
      <w:pPr>
        <w:spacing w:after="0"/>
        <w:ind w:left="0"/>
        <w:jc w:val="both"/>
      </w:pPr>
      <w:r>
        <w:rPr>
          <w:rFonts w:ascii="Times New Roman"/>
          <w:b w:val="false"/>
          <w:i w:val="false"/>
          <w:color w:val="000000"/>
          <w:sz w:val="28"/>
        </w:rPr>
        <w:t xml:space="preserve">
      12. Адал бақылау субъектілерін көтермелеу және бұзушыларға бақылауды шоғырландыру қағидатын іске асыру мақсатында бақылау субъектілері (объектілері) осы Өлшемшарттардың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кезеңге субъектісіне (объектісіне) бара отырып профилактикалық бақылауды жүргізуден босатылады.</w:t>
      </w:r>
    </w:p>
    <w:bookmarkEnd w:id="38"/>
    <w:bookmarkStart w:name="z42" w:id="39"/>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3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 жүзеге асырылатын бақылау субъектілері (объектілері) санының ең аз жол берілетін шегі органикалық өнім өндіру саласында осындай бақылау субъектілерінің жалпы санының бес пайызынан аспауы тиіс.</w:t>
      </w:r>
    </w:p>
    <w:bookmarkStart w:name="z43" w:id="40"/>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40"/>
    <w:bookmarkStart w:name="z44" w:id="41"/>
    <w:p>
      <w:pPr>
        <w:spacing w:after="0"/>
        <w:ind w:left="0"/>
        <w:jc w:val="both"/>
      </w:pPr>
      <w:r>
        <w:rPr>
          <w:rFonts w:ascii="Times New Roman"/>
          <w:b w:val="false"/>
          <w:i w:val="false"/>
          <w:color w:val="000000"/>
          <w:sz w:val="28"/>
        </w:rPr>
        <w:t xml:space="preserve">
      14. Мемлекеттік орган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дерекқорды қалыптастырады.</w:t>
      </w:r>
    </w:p>
    <w:bookmarkEnd w:id="41"/>
    <w:bookmarkStart w:name="z45" w:id="42"/>
    <w:p>
      <w:pPr>
        <w:spacing w:after="0"/>
        <w:ind w:left="0"/>
        <w:jc w:val="both"/>
      </w:pPr>
      <w:r>
        <w:rPr>
          <w:rFonts w:ascii="Times New Roman"/>
          <w:b w:val="false"/>
          <w:i w:val="false"/>
          <w:color w:val="000000"/>
          <w:sz w:val="28"/>
        </w:rPr>
        <w:t>
      15. Субъективті өлшемшарттар бойынша тәуекел дәрежесінің көрсеткішін (R) есептеу бақылау субъектілеріне (объектілеріне) алдыңғы бара отырып жүргізілген профилактикалық бақылау нәтижелері бойынша тәуекел дәрежесінің көрсеткіші мен субъективті өлшемшарттар бойынша айқындалған субъективті өлшемшарттарға сәйкес бұзушылықтар бойынша тәуекел дәрежесінің көрсеткішін қосу жолымен, деректер мәндерін 0-ден 100 баллға дейінгі диапозонға қалыпқа келтіре отырып, автоматтандырылған режимде жүзеге асырылады.</w:t>
      </w:r>
    </w:p>
    <w:bookmarkEnd w:id="42"/>
    <w:p>
      <w:pPr>
        <w:spacing w:after="0"/>
        <w:ind w:left="0"/>
        <w:jc w:val="both"/>
      </w:pPr>
      <w:r>
        <w:rPr>
          <w:rFonts w:ascii="Times New Roman"/>
          <w:b w:val="false"/>
          <w:i w:val="false"/>
          <w:color w:val="000000"/>
          <w:sz w:val="28"/>
        </w:rPr>
        <w:t>
      Rарал = SP + SC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xml:space="preserve">
      Есептеу органикалық өнім өндіру саласында бақылау субъектілерінің (объектілерінің) біртекті тобының әрбір бақылау субъектісі (объектісі) бойынша жүргізіледі. Бұл ретте органикалық өнім өндіру саласында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іріктемелі жиынтықты (іріктемені) құрайды. </w:t>
      </w:r>
    </w:p>
    <w:bookmarkStart w:name="z46" w:id="43"/>
    <w:p>
      <w:pPr>
        <w:spacing w:after="0"/>
        <w:ind w:left="0"/>
        <w:jc w:val="both"/>
      </w:pPr>
      <w:r>
        <w:rPr>
          <w:rFonts w:ascii="Times New Roman"/>
          <w:b w:val="false"/>
          <w:i w:val="false"/>
          <w:color w:val="000000"/>
          <w:sz w:val="28"/>
        </w:rPr>
        <w:t>
      16. Бақылау субъектілеріне (объектілеріне) бара отырып алдыңғы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43"/>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және қадағалау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7" w:id="44"/>
    <w:p>
      <w:pPr>
        <w:spacing w:after="0"/>
        <w:ind w:left="0"/>
        <w:jc w:val="both"/>
      </w:pPr>
      <w:r>
        <w:rPr>
          <w:rFonts w:ascii="Times New Roman"/>
          <w:b w:val="false"/>
          <w:i w:val="false"/>
          <w:color w:val="000000"/>
          <w:sz w:val="28"/>
        </w:rPr>
        <w:t>
      17.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xml:space="preserve">
      wi - субъективті xi өлшемшарты көрсеткішінің үлес салмағы </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8" w:id="45"/>
    <w:p>
      <w:pPr>
        <w:spacing w:after="0"/>
        <w:ind w:left="0"/>
        <w:jc w:val="both"/>
      </w:pPr>
      <w:r>
        <w:rPr>
          <w:rFonts w:ascii="Times New Roman"/>
          <w:b w:val="false"/>
          <w:i w:val="false"/>
          <w:color w:val="000000"/>
          <w:sz w:val="28"/>
        </w:rPr>
        <w:t>
      18.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–жекелеген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15-тармағына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49" w:id="46"/>
    <w:p>
      <w:pPr>
        <w:spacing w:after="0"/>
        <w:ind w:left="0"/>
        <w:jc w:val="both"/>
      </w:pPr>
      <w:r>
        <w:rPr>
          <w:rFonts w:ascii="Times New Roman"/>
          <w:b w:val="false"/>
          <w:i w:val="false"/>
          <w:color w:val="000000"/>
          <w:sz w:val="28"/>
        </w:rPr>
        <w:t>
      19. Бақылау субъектісіне (объектісіне) бара отырып профилактикалық бақылаудың жиілігі субъективті өлшемшарттар бойынша алынатын мәліметтерге жүргізілетін талдау мен бағалаудың нәтижелері бойынша айқындалады, бірақ жылына екі реттен жиілетпеу керек.</w:t>
      </w:r>
    </w:p>
    <w:bookmarkEnd w:id="46"/>
    <w:bookmarkStart w:name="z50" w:id="47"/>
    <w:p>
      <w:pPr>
        <w:spacing w:after="0"/>
        <w:ind w:left="0"/>
        <w:jc w:val="both"/>
      </w:pPr>
      <w:r>
        <w:rPr>
          <w:rFonts w:ascii="Times New Roman"/>
          <w:b w:val="false"/>
          <w:i w:val="false"/>
          <w:color w:val="000000"/>
          <w:sz w:val="28"/>
        </w:rPr>
        <w:t xml:space="preserve">
      20. Бақылау субъектісіне (объектісіне) бара отырып профилактикалық бақылау Кодекстің 144-2-бабы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 жүргізудің жартыжылдық тізімдері негізінде жүргізіледі.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52" w:id="48"/>
    <w:p>
      <w:pPr>
        <w:spacing w:after="0"/>
        <w:ind w:left="0"/>
        <w:jc w:val="left"/>
      </w:pPr>
      <w:r>
        <w:rPr>
          <w:rFonts w:ascii="Times New Roman"/>
          <w:b/>
          <w:i w:val="false"/>
          <w:color w:val="000000"/>
        </w:rPr>
        <w:t xml:space="preserve"> Органикалық өнім өндіру саласындағы тәуекел дәрежесін бағалау өлшемшарттары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шаруашылығындағы қызметті жүзеге асыратын бақылау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топырақты жақсартатын заттарды, өсімдіктерді қорғау құралдары ретінде қолданылатын жануарлардан немесе өсімдіктерден алынатын заттарды және агрохимикаттарды, зиянкестермен және аурулармен биологиялық күресу үшін пайдаланылатын микроорганизмдер мен жәндіктер және олар бөлетін заттарды, органикалық өнім өндіруде қолданылатын, рұқсат етілген құралдар тізіміне сәйкес пайдалануға ұстағыштар мен тозаңдатқыштарда пайдалану үшін рұқсат етілген заттарды пайдалануға қойылатын талаптардың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өнімдерді органикалық өнімге жатпайтын өнімді өндіруден бөлек өндіруге қойылатын талаптардың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шаруашылығындағы қызметті жүзеге асыратын бақылау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өнімдерді органикалық өнімге жатпайтын өнімді өндіруден бөлек өндіруге қойылатын талаптардың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Күйіс қайыратындар және жылқы тұқымдастар үшін күтіп-бағу алаңының рұқсат етілген ең төменгі нормативтердің сақталмауы.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200-ге дейін;</w:t>
            </w:r>
          </w:p>
          <w:p>
            <w:pPr>
              <w:spacing w:after="20"/>
              <w:ind w:left="20"/>
              <w:jc w:val="both"/>
            </w:pPr>
            <w:r>
              <w:rPr>
                <w:rFonts w:ascii="Times New Roman"/>
                <w:b w:val="false"/>
                <w:i w:val="false"/>
                <w:color w:val="000000"/>
                <w:sz w:val="20"/>
              </w:rPr>
              <w:t>
350-ге дейін;</w:t>
            </w:r>
          </w:p>
          <w:p>
            <w:pPr>
              <w:spacing w:after="20"/>
              <w:ind w:left="20"/>
              <w:jc w:val="both"/>
            </w:pPr>
            <w:r>
              <w:rPr>
                <w:rFonts w:ascii="Times New Roman"/>
                <w:b w:val="false"/>
                <w:i w:val="false"/>
                <w:color w:val="000000"/>
                <w:sz w:val="20"/>
              </w:rPr>
              <w:t>
350-және одан жоғары.</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ешкілерді күтіп-бағу алаңының рұқсат етілген ең төменгі нормативтерінің сақталмауы. Ересек мал: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Төл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күнге дейінгі торайлары бар торайлайтын шошқаларды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бордақылауға арналған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50-ге дейін;</w:t>
            </w:r>
          </w:p>
          <w:p>
            <w:pPr>
              <w:spacing w:after="20"/>
              <w:ind w:left="20"/>
              <w:jc w:val="both"/>
            </w:pPr>
            <w:r>
              <w:rPr>
                <w:rFonts w:ascii="Times New Roman"/>
                <w:b w:val="false"/>
                <w:i w:val="false"/>
                <w:color w:val="000000"/>
                <w:sz w:val="20"/>
              </w:rPr>
              <w:t>
85-ке дейін;</w:t>
            </w:r>
          </w:p>
          <w:p>
            <w:pPr>
              <w:spacing w:after="20"/>
              <w:ind w:left="20"/>
              <w:jc w:val="both"/>
            </w:pPr>
            <w:r>
              <w:rPr>
                <w:rFonts w:ascii="Times New Roman"/>
                <w:b w:val="false"/>
                <w:i w:val="false"/>
                <w:color w:val="000000"/>
                <w:sz w:val="20"/>
              </w:rPr>
              <w:t>
110-ға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30-ға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шошқаларды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бір ұрғашы дараққа – 2,5;</w:t>
            </w:r>
          </w:p>
          <w:p>
            <w:pPr>
              <w:spacing w:after="20"/>
              <w:ind w:left="20"/>
              <w:jc w:val="both"/>
            </w:pPr>
            <w:r>
              <w:rPr>
                <w:rFonts w:ascii="Times New Roman"/>
                <w:b w:val="false"/>
                <w:i w:val="false"/>
                <w:color w:val="000000"/>
                <w:sz w:val="20"/>
              </w:rPr>
              <w:t>
бір еркек дараққа (серуендету пайдаланылғанда – 10) –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бір ұрғашы дараққа – 1,9;</w:t>
            </w:r>
          </w:p>
          <w:p>
            <w:pPr>
              <w:spacing w:after="20"/>
              <w:ind w:left="20"/>
              <w:jc w:val="both"/>
            </w:pPr>
            <w:r>
              <w:rPr>
                <w:rFonts w:ascii="Times New Roman"/>
                <w:b w:val="false"/>
                <w:i w:val="false"/>
                <w:color w:val="000000"/>
                <w:sz w:val="20"/>
              </w:rPr>
              <w:t>
бір еркек дараққа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 тауықтарды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шаршы метрге құс саны – 6;</w:t>
            </w:r>
          </w:p>
          <w:p>
            <w:pPr>
              <w:spacing w:after="20"/>
              <w:ind w:left="20"/>
              <w:jc w:val="both"/>
            </w:pPr>
            <w:r>
              <w:rPr>
                <w:rFonts w:ascii="Times New Roman"/>
                <w:b w:val="false"/>
                <w:i w:val="false"/>
                <w:color w:val="000000"/>
                <w:sz w:val="20"/>
              </w:rPr>
              <w:t>
бір құсқа орын – 18 сантиметр;</w:t>
            </w:r>
          </w:p>
          <w:p>
            <w:pPr>
              <w:spacing w:after="20"/>
              <w:ind w:left="20"/>
              <w:jc w:val="both"/>
            </w:pPr>
            <w:r>
              <w:rPr>
                <w:rFonts w:ascii="Times New Roman"/>
                <w:b w:val="false"/>
                <w:i w:val="false"/>
                <w:color w:val="000000"/>
                <w:sz w:val="20"/>
              </w:rPr>
              <w:t>
ұя – 1 ұяға 7 жұмыртқалайтын тауық немесе жалпы ұя жағдайында – 1 құсқа 120 шаршы сантиметр.</w:t>
            </w:r>
          </w:p>
          <w:p>
            <w:pPr>
              <w:spacing w:after="20"/>
              <w:ind w:left="20"/>
              <w:jc w:val="both"/>
            </w:pPr>
            <w:r>
              <w:rPr>
                <w:rFonts w:ascii="Times New Roman"/>
                <w:b w:val="false"/>
                <w:i w:val="false"/>
                <w:color w:val="000000"/>
                <w:sz w:val="20"/>
              </w:rPr>
              <w:t>
Ашық ауадағы алаң, бір басқа шаршы метр алаң: 4, жылына азот 1 гектарға 170 килограммнан асып кетпеген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бордақылау (тұрақты қора-жайда)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10, ең жоғарғы жалпы тірідей салмағы 21 килограмм болған кезде;</w:t>
            </w:r>
          </w:p>
          <w:p>
            <w:pPr>
              <w:spacing w:after="20"/>
              <w:ind w:left="20"/>
              <w:jc w:val="both"/>
            </w:pPr>
            <w:r>
              <w:rPr>
                <w:rFonts w:ascii="Times New Roman"/>
                <w:b w:val="false"/>
                <w:i w:val="false"/>
                <w:color w:val="000000"/>
                <w:sz w:val="20"/>
              </w:rPr>
              <w:t>
бір құсқа арналған сырық, сантиметр – 20 (тек мысыр тауығы үшін);</w:t>
            </w:r>
          </w:p>
          <w:p>
            <w:pPr>
              <w:spacing w:after="20"/>
              <w:ind w:left="20"/>
              <w:jc w:val="both"/>
            </w:pPr>
            <w:r>
              <w:rPr>
                <w:rFonts w:ascii="Times New Roman"/>
                <w:b w:val="false"/>
                <w:i w:val="false"/>
                <w:color w:val="000000"/>
                <w:sz w:val="20"/>
              </w:rPr>
              <w:t>
ұя – 4 бройлер мен мысыр тауығы, 4,5 үйрек, 10 күркетауық, 15 қаз; барлық түрлер үшін жылына бір гектарға азот шегі 170 килограммнан асыпаған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жемдеу (мобильді қора-жайда)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шаршы метрге құс саны – 16, құсқа арналған жылжымалы қора-жайда ең жоғары жалпы тірідей салмағы 30 килограмм болған кезде;</w:t>
            </w:r>
          </w:p>
          <w:p>
            <w:pPr>
              <w:spacing w:after="20"/>
              <w:ind w:left="20"/>
              <w:jc w:val="both"/>
            </w:pPr>
            <w:r>
              <w:rPr>
                <w:rFonts w:ascii="Times New Roman"/>
                <w:b w:val="false"/>
                <w:i w:val="false"/>
                <w:color w:val="000000"/>
                <w:sz w:val="20"/>
              </w:rPr>
              <w:t>
бір құсқа арналған сырық, сантиметр – 2,5, жылына бір гектарға азот шегі 170 килограммнан аспаған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Шарбақтарда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сүйрік – бір текше метрге 25 килограмм;</w:t>
            </w:r>
          </w:p>
          <w:p>
            <w:pPr>
              <w:spacing w:after="20"/>
              <w:ind w:left="20"/>
              <w:jc w:val="both"/>
            </w:pPr>
            <w:r>
              <w:rPr>
                <w:rFonts w:ascii="Times New Roman"/>
                <w:b w:val="false"/>
                <w:i w:val="false"/>
                <w:color w:val="000000"/>
                <w:sz w:val="20"/>
              </w:rPr>
              <w:t>
бекіре – бір текше метрге 10 килограмм;</w:t>
            </w:r>
          </w:p>
          <w:p>
            <w:pPr>
              <w:spacing w:after="20"/>
              <w:ind w:left="20"/>
              <w:jc w:val="both"/>
            </w:pPr>
            <w:r>
              <w:rPr>
                <w:rFonts w:ascii="Times New Roman"/>
                <w:b w:val="false"/>
                <w:i w:val="false"/>
                <w:color w:val="000000"/>
                <w:sz w:val="20"/>
              </w:rPr>
              <w:t>
қортпа – бір текше метрге 44 килограмм;</w:t>
            </w:r>
          </w:p>
          <w:p>
            <w:pPr>
              <w:spacing w:after="20"/>
              <w:ind w:left="20"/>
              <w:jc w:val="both"/>
            </w:pPr>
            <w:r>
              <w:rPr>
                <w:rFonts w:ascii="Times New Roman"/>
                <w:b w:val="false"/>
                <w:i w:val="false"/>
                <w:color w:val="000000"/>
                <w:sz w:val="20"/>
              </w:rPr>
              <w:t>
бақтақ – бір текше метрге 25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сүйрік – бір текше метрге 10 килограмм;</w:t>
            </w:r>
          </w:p>
          <w:p>
            <w:pPr>
              <w:spacing w:after="20"/>
              <w:ind w:left="20"/>
              <w:jc w:val="both"/>
            </w:pPr>
            <w:r>
              <w:rPr>
                <w:rFonts w:ascii="Times New Roman"/>
                <w:b w:val="false"/>
                <w:i w:val="false"/>
                <w:color w:val="000000"/>
                <w:sz w:val="20"/>
              </w:rPr>
              <w:t>
бекіре – бір текше метрге 22,8 килограмм;</w:t>
            </w:r>
          </w:p>
          <w:p>
            <w:pPr>
              <w:spacing w:after="20"/>
              <w:ind w:left="20"/>
              <w:jc w:val="both"/>
            </w:pPr>
            <w:r>
              <w:rPr>
                <w:rFonts w:ascii="Times New Roman"/>
                <w:b w:val="false"/>
                <w:i w:val="false"/>
                <w:color w:val="000000"/>
                <w:sz w:val="20"/>
              </w:rPr>
              <w:t>
қортпа – бір текше метрге 50 килограмм;</w:t>
            </w:r>
          </w:p>
          <w:p>
            <w:pPr>
              <w:spacing w:after="20"/>
              <w:ind w:left="20"/>
              <w:jc w:val="both"/>
            </w:pPr>
            <w:r>
              <w:rPr>
                <w:rFonts w:ascii="Times New Roman"/>
                <w:b w:val="false"/>
                <w:i w:val="false"/>
                <w:color w:val="000000"/>
                <w:sz w:val="20"/>
              </w:rPr>
              <w:t>
бақтақ – бір текше метрге 35 килограмм;</w:t>
            </w:r>
          </w:p>
          <w:p>
            <w:pPr>
              <w:spacing w:after="20"/>
              <w:ind w:left="20"/>
              <w:jc w:val="both"/>
            </w:pPr>
            <w:r>
              <w:rPr>
                <w:rFonts w:ascii="Times New Roman"/>
                <w:b w:val="false"/>
                <w:i w:val="false"/>
                <w:color w:val="000000"/>
                <w:sz w:val="20"/>
              </w:rPr>
              <w:t>
жайын – бір шаршы метрге 200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циклді сумен жабдықталатын қондырғыларда өсірілетін ортаға балықтарды орналастыруды ең жоғары тығыздығының сақталмауы:</w:t>
            </w:r>
          </w:p>
          <w:p>
            <w:pPr>
              <w:spacing w:after="20"/>
              <w:ind w:left="20"/>
              <w:jc w:val="both"/>
            </w:pPr>
            <w:r>
              <w:rPr>
                <w:rFonts w:ascii="Times New Roman"/>
                <w:b w:val="false"/>
                <w:i w:val="false"/>
                <w:color w:val="000000"/>
                <w:sz w:val="20"/>
              </w:rPr>
              <w:t>
бекіре – бір шаршы метрге 20 килограмм;</w:t>
            </w:r>
          </w:p>
          <w:p>
            <w:pPr>
              <w:spacing w:after="20"/>
              <w:ind w:left="20"/>
              <w:jc w:val="both"/>
            </w:pPr>
            <w:r>
              <w:rPr>
                <w:rFonts w:ascii="Times New Roman"/>
                <w:b w:val="false"/>
                <w:i w:val="false"/>
                <w:color w:val="000000"/>
                <w:sz w:val="20"/>
              </w:rPr>
              <w:t>
жайын – бір шаршы метрге 200 килограмм;</w:t>
            </w:r>
          </w:p>
          <w:p>
            <w:pPr>
              <w:spacing w:after="20"/>
              <w:ind w:left="20"/>
              <w:jc w:val="both"/>
            </w:pPr>
            <w:r>
              <w:rPr>
                <w:rFonts w:ascii="Times New Roman"/>
                <w:b w:val="false"/>
                <w:i w:val="false"/>
                <w:color w:val="000000"/>
                <w:sz w:val="20"/>
              </w:rPr>
              <w:t>
бақтақ – бір текше метрге 50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көлдер мен тоғандардағы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ақсақа балықтар (пайда балық, көкшұбар балық, ақсақа, шыр, ақ балық) – бір гектарға 400 килограмм;</w:t>
            </w:r>
          </w:p>
          <w:p>
            <w:pPr>
              <w:spacing w:after="20"/>
              <w:ind w:left="20"/>
              <w:jc w:val="both"/>
            </w:pPr>
            <w:r>
              <w:rPr>
                <w:rFonts w:ascii="Times New Roman"/>
                <w:b w:val="false"/>
                <w:i w:val="false"/>
                <w:color w:val="000000"/>
                <w:sz w:val="20"/>
              </w:rPr>
              <w:t>
өсімдік қоректілер (ақ амур, қара амур, ақ және сұр дөңмаңдай), тұқы (сазан), көксерке, шортан, кәдімгі жайын) – түрлері бойынша жиынтық бір гектарға 3000 килограмнан аспайды;</w:t>
            </w:r>
          </w:p>
          <w:p>
            <w:pPr>
              <w:spacing w:after="20"/>
              <w:ind w:left="20"/>
              <w:jc w:val="both"/>
            </w:pPr>
            <w:r>
              <w:rPr>
                <w:rFonts w:ascii="Times New Roman"/>
                <w:b w:val="false"/>
                <w:i w:val="false"/>
                <w:color w:val="000000"/>
                <w:sz w:val="20"/>
              </w:rPr>
              <w:t>
бекіре тұқымдастар (орыс бекіресі, сібір бекіресі, шоқыр) – түрлері бойынша жиынтық бір гектарға 1070 килограмнан көп аспайды;</w:t>
            </w:r>
          </w:p>
          <w:p>
            <w:pPr>
              <w:spacing w:after="20"/>
              <w:ind w:left="20"/>
              <w:jc w:val="both"/>
            </w:pPr>
            <w:r>
              <w:rPr>
                <w:rFonts w:ascii="Times New Roman"/>
                <w:b w:val="false"/>
                <w:i w:val="false"/>
                <w:color w:val="000000"/>
                <w:sz w:val="20"/>
              </w:rPr>
              <w:t xml:space="preserve">
канал жайыны – бір гектарға 3000 килограмм.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103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223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818 бірлескен бұйрығына</w:t>
            </w:r>
            <w:r>
              <w:br/>
            </w:r>
            <w:r>
              <w:rPr>
                <w:rFonts w:ascii="Times New Roman"/>
                <w:b w:val="false"/>
                <w:i w:val="false"/>
                <w:color w:val="000000"/>
                <w:sz w:val="20"/>
              </w:rPr>
              <w:t>2-қосымша</w:t>
            </w:r>
          </w:p>
        </w:tc>
      </w:tr>
    </w:tbl>
    <w:bookmarkStart w:name="z54" w:id="49"/>
    <w:p>
      <w:pPr>
        <w:spacing w:after="0"/>
        <w:ind w:left="0"/>
        <w:jc w:val="left"/>
      </w:pPr>
      <w:r>
        <w:rPr>
          <w:rFonts w:ascii="Times New Roman"/>
          <w:b/>
          <w:i w:val="false"/>
          <w:color w:val="000000"/>
        </w:rPr>
        <w:t xml:space="preserve"> Органикалық өсімдік шаруашылығында қызметін жүзеге асыратын субъектілерге қатысты органикалық өнім өндіру саласындағы тексеру парағы тексеру парағы</w:t>
      </w:r>
    </w:p>
    <w:bookmarkEnd w:id="49"/>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w:t>
      </w:r>
    </w:p>
    <w:p>
      <w:pPr>
        <w:spacing w:after="0"/>
        <w:ind w:left="0"/>
        <w:jc w:val="both"/>
      </w:pPr>
      <w:r>
        <w:rPr>
          <w:rFonts w:ascii="Times New Roman"/>
          <w:b w:val="false"/>
          <w:i w:val="false"/>
          <w:color w:val="000000"/>
          <w:sz w:val="28"/>
        </w:rPr>
        <w:t>
      нөмірі 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топырақты жақсартатын заттарды, өсімдіктерді қорғау құралдары ретінде қолданылатын жануарлардан немесе өсімдіктерден алынатын заттарды және агрохимикаттарды, зиянкестермен және аурулармен биологиялық күресу үшін пайдаланылатын микроорганизмдер мен жәндіктер және олар бөлетін заттарды, органикалық өнім өндіруде қолданылатын, рұқсат етілген құралдар тізіміне сәйкес пайдалануға ұстағыштар мен тозаңдатқыштарда пайдалану үшін рұқсат етілген заттарды пайдалануға қойылатын талаптардың сақталмауы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өнімдерді органикалық өнімге жатпайтын өнімді өндіруден бөлек қойылатын талаптардың сақталмауы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 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 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103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223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818 бірлескен бұйрығына</w:t>
            </w:r>
            <w:r>
              <w:br/>
            </w:r>
            <w:r>
              <w:rPr>
                <w:rFonts w:ascii="Times New Roman"/>
                <w:b w:val="false"/>
                <w:i w:val="false"/>
                <w:color w:val="000000"/>
                <w:sz w:val="20"/>
              </w:rPr>
              <w:t>3-қосымша</w:t>
            </w:r>
          </w:p>
        </w:tc>
      </w:tr>
    </w:tbl>
    <w:bookmarkStart w:name="z56" w:id="50"/>
    <w:p>
      <w:pPr>
        <w:spacing w:after="0"/>
        <w:ind w:left="0"/>
        <w:jc w:val="left"/>
      </w:pPr>
      <w:r>
        <w:rPr>
          <w:rFonts w:ascii="Times New Roman"/>
          <w:b/>
          <w:i w:val="false"/>
          <w:color w:val="000000"/>
        </w:rPr>
        <w:t xml:space="preserve"> Органикалық мал шаруашылығында қызметін жүзеге асыратын субъектілерге қатысты органикалық өнім өндіру саласындағы  тексеру парағы</w:t>
      </w:r>
    </w:p>
    <w:bookmarkEnd w:id="50"/>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(объектісінің) атауы_________________________________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өнімдерді өндіруден бөлек органикалық өнімді өндіруге қойылатын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Күйіс қайыратындар және жылқы тұқымдастар үшін күтіп-бағу алаңының рұқсат етілген ең төменгі нормативтердің сақталмауы.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200-ге дейін;</w:t>
            </w:r>
          </w:p>
          <w:p>
            <w:pPr>
              <w:spacing w:after="20"/>
              <w:ind w:left="20"/>
              <w:jc w:val="both"/>
            </w:pPr>
            <w:r>
              <w:rPr>
                <w:rFonts w:ascii="Times New Roman"/>
                <w:b w:val="false"/>
                <w:i w:val="false"/>
                <w:color w:val="000000"/>
                <w:sz w:val="20"/>
              </w:rPr>
              <w:t>
350-ге дейін;</w:t>
            </w:r>
          </w:p>
          <w:p>
            <w:pPr>
              <w:spacing w:after="20"/>
              <w:ind w:left="20"/>
              <w:jc w:val="both"/>
            </w:pPr>
            <w:r>
              <w:rPr>
                <w:rFonts w:ascii="Times New Roman"/>
                <w:b w:val="false"/>
                <w:i w:val="false"/>
                <w:color w:val="000000"/>
                <w:sz w:val="20"/>
              </w:rPr>
              <w:t>
350-және одан жоғары.</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ешкілерді күтіп-бағу алаңының рұқсат етілген ең төменгі нормативтерінің сақталмауы. Ересек мал: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Төл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күнге дейінгі торайлары бар торайлайтын шошқаларды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бордақылауға арналған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50-ге дейін;</w:t>
            </w:r>
          </w:p>
          <w:p>
            <w:pPr>
              <w:spacing w:after="20"/>
              <w:ind w:left="20"/>
              <w:jc w:val="both"/>
            </w:pPr>
            <w:r>
              <w:rPr>
                <w:rFonts w:ascii="Times New Roman"/>
                <w:b w:val="false"/>
                <w:i w:val="false"/>
                <w:color w:val="000000"/>
                <w:sz w:val="20"/>
              </w:rPr>
              <w:t>
85-ке дейін;</w:t>
            </w:r>
          </w:p>
          <w:p>
            <w:pPr>
              <w:spacing w:after="20"/>
              <w:ind w:left="20"/>
              <w:jc w:val="both"/>
            </w:pPr>
            <w:r>
              <w:rPr>
                <w:rFonts w:ascii="Times New Roman"/>
                <w:b w:val="false"/>
                <w:i w:val="false"/>
                <w:color w:val="000000"/>
                <w:sz w:val="20"/>
              </w:rPr>
              <w:t>
110-ға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30-ға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шошқаларды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бір ұрғашы дараққа – 2,5;</w:t>
            </w:r>
          </w:p>
          <w:p>
            <w:pPr>
              <w:spacing w:after="20"/>
              <w:ind w:left="20"/>
              <w:jc w:val="both"/>
            </w:pPr>
            <w:r>
              <w:rPr>
                <w:rFonts w:ascii="Times New Roman"/>
                <w:b w:val="false"/>
                <w:i w:val="false"/>
                <w:color w:val="000000"/>
                <w:sz w:val="20"/>
              </w:rPr>
              <w:t>
бір еркек дараққа (серуендету пайдаланылғанда – 10) –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бір ұрғашы дараққа – 1,9;</w:t>
            </w:r>
          </w:p>
          <w:p>
            <w:pPr>
              <w:spacing w:after="20"/>
              <w:ind w:left="20"/>
              <w:jc w:val="both"/>
            </w:pPr>
            <w:r>
              <w:rPr>
                <w:rFonts w:ascii="Times New Roman"/>
                <w:b w:val="false"/>
                <w:i w:val="false"/>
                <w:color w:val="000000"/>
                <w:sz w:val="20"/>
              </w:rPr>
              <w:t>
бір еркек дараққа –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 тауықтарды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6;</w:t>
            </w:r>
          </w:p>
          <w:p>
            <w:pPr>
              <w:spacing w:after="20"/>
              <w:ind w:left="20"/>
              <w:jc w:val="both"/>
            </w:pPr>
            <w:r>
              <w:rPr>
                <w:rFonts w:ascii="Times New Roman"/>
                <w:b w:val="false"/>
                <w:i w:val="false"/>
                <w:color w:val="000000"/>
                <w:sz w:val="20"/>
              </w:rPr>
              <w:t>
бір құсқа орын – 18 сантиметр;</w:t>
            </w:r>
          </w:p>
          <w:p>
            <w:pPr>
              <w:spacing w:after="20"/>
              <w:ind w:left="20"/>
              <w:jc w:val="both"/>
            </w:pPr>
            <w:r>
              <w:rPr>
                <w:rFonts w:ascii="Times New Roman"/>
                <w:b w:val="false"/>
                <w:i w:val="false"/>
                <w:color w:val="000000"/>
                <w:sz w:val="20"/>
              </w:rPr>
              <w:t>
ұя – 1 ұяға 7 жұмыртқалайтын тауық немесе жалпы ұя жағдайында – 1 құсқа 120 шаршы сантиметр.</w:t>
            </w:r>
          </w:p>
          <w:p>
            <w:pPr>
              <w:spacing w:after="20"/>
              <w:ind w:left="20"/>
              <w:jc w:val="both"/>
            </w:pPr>
            <w:r>
              <w:rPr>
                <w:rFonts w:ascii="Times New Roman"/>
                <w:b w:val="false"/>
                <w:i w:val="false"/>
                <w:color w:val="000000"/>
                <w:sz w:val="20"/>
              </w:rPr>
              <w:t>
Ашық ауадағы алаң, бір басқа шаршы метр алаң: 4, жылына азот 1 гектарға 170 килограммнан асып кетпеген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бордақылау (тұрақты қора-жайда)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10, ең жоғарғы жалпы тірідей салмағы 21 килограмм болған кезде;</w:t>
            </w:r>
          </w:p>
          <w:p>
            <w:pPr>
              <w:spacing w:after="20"/>
              <w:ind w:left="20"/>
              <w:jc w:val="both"/>
            </w:pPr>
            <w:r>
              <w:rPr>
                <w:rFonts w:ascii="Times New Roman"/>
                <w:b w:val="false"/>
                <w:i w:val="false"/>
                <w:color w:val="000000"/>
                <w:sz w:val="20"/>
              </w:rPr>
              <w:t>
бір құсқа арналған сырық, сантиметр – 20 (тек мысыр тауығы үшін);</w:t>
            </w:r>
          </w:p>
          <w:p>
            <w:pPr>
              <w:spacing w:after="20"/>
              <w:ind w:left="20"/>
              <w:jc w:val="both"/>
            </w:pPr>
            <w:r>
              <w:rPr>
                <w:rFonts w:ascii="Times New Roman"/>
                <w:b w:val="false"/>
                <w:i w:val="false"/>
                <w:color w:val="000000"/>
                <w:sz w:val="20"/>
              </w:rPr>
              <w:t>
ұя – 4 бройлер мен мысыр тауығы, 4,5 үйрек, 10 күркетауық, 15 қаз; барлық түрлер үшін жылына бір гектарға азот шегі 170 килограммнан асыпаған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жемдеу (мобильді қора-жайда)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16, құсқа арналған жылжымалы қора-жайда ең жоғары жалпы тірідей салмағы 30 килограмм болған кезде;</w:t>
            </w:r>
          </w:p>
          <w:p>
            <w:pPr>
              <w:spacing w:after="20"/>
              <w:ind w:left="20"/>
              <w:jc w:val="both"/>
            </w:pPr>
            <w:r>
              <w:rPr>
                <w:rFonts w:ascii="Times New Roman"/>
                <w:b w:val="false"/>
                <w:i w:val="false"/>
                <w:color w:val="000000"/>
                <w:sz w:val="20"/>
              </w:rPr>
              <w:t>
бір құсқа арналған сырық, сантиметр – 2,5, жылына бір гектарға азот шегі 170 килограммнан аспаған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Шарбақтарда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сүйрік – бір текше метрге 25 килограмм;</w:t>
            </w:r>
          </w:p>
          <w:p>
            <w:pPr>
              <w:spacing w:after="20"/>
              <w:ind w:left="20"/>
              <w:jc w:val="both"/>
            </w:pPr>
            <w:r>
              <w:rPr>
                <w:rFonts w:ascii="Times New Roman"/>
                <w:b w:val="false"/>
                <w:i w:val="false"/>
                <w:color w:val="000000"/>
                <w:sz w:val="20"/>
              </w:rPr>
              <w:t>
бекіре – бір текше метрге 10 килограмм;</w:t>
            </w:r>
          </w:p>
          <w:p>
            <w:pPr>
              <w:spacing w:after="20"/>
              <w:ind w:left="20"/>
              <w:jc w:val="both"/>
            </w:pPr>
            <w:r>
              <w:rPr>
                <w:rFonts w:ascii="Times New Roman"/>
                <w:b w:val="false"/>
                <w:i w:val="false"/>
                <w:color w:val="000000"/>
                <w:sz w:val="20"/>
              </w:rPr>
              <w:t>
қортпа – бір текше метрге 44 килограмм;</w:t>
            </w:r>
          </w:p>
          <w:p>
            <w:pPr>
              <w:spacing w:after="20"/>
              <w:ind w:left="20"/>
              <w:jc w:val="both"/>
            </w:pPr>
            <w:r>
              <w:rPr>
                <w:rFonts w:ascii="Times New Roman"/>
                <w:b w:val="false"/>
                <w:i w:val="false"/>
                <w:color w:val="000000"/>
                <w:sz w:val="20"/>
              </w:rPr>
              <w:t>
бақтақ – бір текше метрге 25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сүйрік – бір текше метрге 10 килограмм;</w:t>
            </w:r>
          </w:p>
          <w:p>
            <w:pPr>
              <w:spacing w:after="20"/>
              <w:ind w:left="20"/>
              <w:jc w:val="both"/>
            </w:pPr>
            <w:r>
              <w:rPr>
                <w:rFonts w:ascii="Times New Roman"/>
                <w:b w:val="false"/>
                <w:i w:val="false"/>
                <w:color w:val="000000"/>
                <w:sz w:val="20"/>
              </w:rPr>
              <w:t>
бекіре – бір текше метрге 22,8 килограмм;</w:t>
            </w:r>
          </w:p>
          <w:p>
            <w:pPr>
              <w:spacing w:after="20"/>
              <w:ind w:left="20"/>
              <w:jc w:val="both"/>
            </w:pPr>
            <w:r>
              <w:rPr>
                <w:rFonts w:ascii="Times New Roman"/>
                <w:b w:val="false"/>
                <w:i w:val="false"/>
                <w:color w:val="000000"/>
                <w:sz w:val="20"/>
              </w:rPr>
              <w:t>
қортпа – бір текше метрге 50 килограмм;</w:t>
            </w:r>
          </w:p>
          <w:p>
            <w:pPr>
              <w:spacing w:after="20"/>
              <w:ind w:left="20"/>
              <w:jc w:val="both"/>
            </w:pPr>
            <w:r>
              <w:rPr>
                <w:rFonts w:ascii="Times New Roman"/>
                <w:b w:val="false"/>
                <w:i w:val="false"/>
                <w:color w:val="000000"/>
                <w:sz w:val="20"/>
              </w:rPr>
              <w:t>
бақтақ – бір текше метрге 35 килограмм;</w:t>
            </w:r>
          </w:p>
          <w:p>
            <w:pPr>
              <w:spacing w:after="20"/>
              <w:ind w:left="20"/>
              <w:jc w:val="both"/>
            </w:pPr>
            <w:r>
              <w:rPr>
                <w:rFonts w:ascii="Times New Roman"/>
                <w:b w:val="false"/>
                <w:i w:val="false"/>
                <w:color w:val="000000"/>
                <w:sz w:val="20"/>
              </w:rPr>
              <w:t>
жайын – бір шаршы метрге 200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циклді сумен жабдықталатын қондырғыларда өсірілетін ортаға балықтарды орналастыруды ең жоғары тығыздығының сақталмауы:</w:t>
            </w:r>
          </w:p>
          <w:p>
            <w:pPr>
              <w:spacing w:after="20"/>
              <w:ind w:left="20"/>
              <w:jc w:val="both"/>
            </w:pPr>
            <w:r>
              <w:rPr>
                <w:rFonts w:ascii="Times New Roman"/>
                <w:b w:val="false"/>
                <w:i w:val="false"/>
                <w:color w:val="000000"/>
                <w:sz w:val="20"/>
              </w:rPr>
              <w:t>
бекіре – бір шаршы метрге 20 килограмм;</w:t>
            </w:r>
          </w:p>
          <w:p>
            <w:pPr>
              <w:spacing w:after="20"/>
              <w:ind w:left="20"/>
              <w:jc w:val="both"/>
            </w:pPr>
            <w:r>
              <w:rPr>
                <w:rFonts w:ascii="Times New Roman"/>
                <w:b w:val="false"/>
                <w:i w:val="false"/>
                <w:color w:val="000000"/>
                <w:sz w:val="20"/>
              </w:rPr>
              <w:t>
жайын – бір шаршы метрге 200 килограмм;</w:t>
            </w:r>
          </w:p>
          <w:p>
            <w:pPr>
              <w:spacing w:after="20"/>
              <w:ind w:left="20"/>
              <w:jc w:val="both"/>
            </w:pPr>
            <w:r>
              <w:rPr>
                <w:rFonts w:ascii="Times New Roman"/>
                <w:b w:val="false"/>
                <w:i w:val="false"/>
                <w:color w:val="000000"/>
                <w:sz w:val="20"/>
              </w:rPr>
              <w:t>
бақтақ – бір текше метрге 50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көлдер мен тоғандардағы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ақсақа балықтар (пайда балық, көкшұбар балық, ақсақа, шыр, ақ балық) – бір гектарға 400 килограмм;</w:t>
            </w:r>
          </w:p>
          <w:p>
            <w:pPr>
              <w:spacing w:after="20"/>
              <w:ind w:left="20"/>
              <w:jc w:val="both"/>
            </w:pPr>
            <w:r>
              <w:rPr>
                <w:rFonts w:ascii="Times New Roman"/>
                <w:b w:val="false"/>
                <w:i w:val="false"/>
                <w:color w:val="000000"/>
                <w:sz w:val="20"/>
              </w:rPr>
              <w:t>
өсімдік қоректілер (ақ амур, қара амур, ақ және сұр дөңмаңдай), тұқы (сазан), көксерке, шортан, кәдімгі жайын) – түрлері бойынша жиынтық бір гектарға 3000 килограмнан аспайды;</w:t>
            </w:r>
          </w:p>
          <w:p>
            <w:pPr>
              <w:spacing w:after="20"/>
              <w:ind w:left="20"/>
              <w:jc w:val="both"/>
            </w:pPr>
            <w:r>
              <w:rPr>
                <w:rFonts w:ascii="Times New Roman"/>
                <w:b w:val="false"/>
                <w:i w:val="false"/>
                <w:color w:val="000000"/>
                <w:sz w:val="20"/>
              </w:rPr>
              <w:t>
бекіре тұқымдастар (орыс бекіресі, сібір бекіресі, шоқыр) – түрлері бойынша жиынтық бір гектарға 1070 килограмнан көп аспайды;</w:t>
            </w:r>
          </w:p>
          <w:p>
            <w:pPr>
              <w:spacing w:after="20"/>
              <w:ind w:left="20"/>
              <w:jc w:val="both"/>
            </w:pPr>
            <w:r>
              <w:rPr>
                <w:rFonts w:ascii="Times New Roman"/>
                <w:b w:val="false"/>
                <w:i w:val="false"/>
                <w:color w:val="000000"/>
                <w:sz w:val="20"/>
              </w:rPr>
              <w:t>
канал жайыны – бір гектарға 3000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 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Бақылау субъектісінің басшысы 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