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b27d" w14:textId="3a1b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кадастрда жылжымайтын мүлікке құқықтарды жүйелі түрде тіркеу жүргізу қағидаларын бекіту туралы" Қазақстан Республикасы Әділет министрінің 2015 жылғы 24 ақпандағы № 110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2023 жылғы 20 маусымдағы № 392 бұйрығы. Қазақстан Республикасының Әділет министрлігінде 2023 жылғы 22 маусымда № 32877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"Құқықтық кадастрда жылжымайтын мүлікке құқықтарды жүйелі түрде тіркеу жүргізу қағидаларын бекіту туралы" Қазақстан Республикасы Әділет министрінің 2015 жылғы 24 ақпандағы № 110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10539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Құқықтық кадастрда жылжымайтын мүлікке құқықтарды жүйелі түрде тіркеу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"15) жылжымайтын мүлік объектісінің кадастрлық паспорты –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 жөніндегі уәкілетті орган және жер ресурстарын басқару жөніндегі орталық уәкілетті орган белгілеген нысанға сәйкес жылжымайтын мүліктің бастапқы немесе кейінгі объектісінің техникалық, сәйкестендіру сипаттамаларын, сондай-ақ республикалық маңызы бар қалаларда, астанада, облыстық және аудандық маңызы бар қалаларда орналасқан жер учаскесінің сәйкестендіру сипаттамаларын қамтитын сәйкестендіру құжаты;";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Бастапқы және кейiнгi объектiлерге бұрын туындаған құқықтарды есептiк тiркеудi жүзеге асыру кезiнде құқық иеленушінің жылжымайтын мүлік объектісіне кадастрлық паспорты ұсынылмайды. Жүйелi тiркеудi жүргiзу кезiнде мемлекеттік тексеруді техникалық жылжымайтын мүлiк объектiсiнiң орналасқан жерi бойынша мемлекеттiк техникалық есепке алу құзыретiне кіретін "Азаматтарға арналған үкімет" мемлекеттiк корпорациясы өтеусiз жүзеге асырады.".</w:t>
      </w:r>
    </w:p>
    <w:bookmarkStart w:name="z5"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мемлекеттік тіркеуді;</w:t>
      </w:r>
    </w:p>
    <w:bookmarkEnd w:id="4"/>
    <w:bookmarkStart w:name="z7" w:id="5"/>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орналастырылуын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2023 жылғы 1 шілдеден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