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5ed72" w14:textId="4e5ed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 сенімгерлік басқаруға берілуі мүмкін инвестициялық портфельді басқарушыға қойылатын талаптарды, сондай-ақ Инвестициялық портфельді басқарушының сенімгерлік басқаруындағы зейнетақы активтері есебінен сатып алуға рұқсат етілген қаржы құралдарының тізбесін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26 маусымдағы № 62 қаулысы. Қазақстан Республикасының Әділет министрлігінде 2023 жылғы 29 маусымда № 32933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Әлеуметтік кодексі 15-бабының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Зейнетақы активтері сенімгерлік басқаруға берілуі мүмкін инвестициялық портфельді басқарушыларға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Инвестициялық портфельді басқарушының сенімгерлік басқаруындағы зейнетақы активтері есебінен сатып алуға рұқсат етілген қаржы құралдарының тізбесі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Қазақстан Республикасының нормативтік құқықтық актісінің, сондай-ақ Қазақстан Республикасының кейбір нормативтік құқықтық актілерінің жекелеген құрылымдық элементтерінің күші жойылды деп танылсын.</w:t>
      </w:r>
    </w:p>
    <w:bookmarkStart w:name="z6" w:id="1"/>
    <w:p>
      <w:pPr>
        <w:spacing w:after="0"/>
        <w:ind w:left="0"/>
        <w:jc w:val="both"/>
      </w:pPr>
      <w:r>
        <w:rPr>
          <w:rFonts w:ascii="Times New Roman"/>
          <w:b w:val="false"/>
          <w:i w:val="false"/>
          <w:color w:val="000000"/>
          <w:sz w:val="28"/>
        </w:rPr>
        <w:t>
      3. Бағалы қағаздар нарығы департаменті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3"/>
    <w:bookmarkStart w:name="z9" w:id="4"/>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4"/>
    <w:bookmarkStart w:name="z10" w:id="5"/>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5"/>
    <w:bookmarkStart w:name="z11" w:id="6"/>
    <w:p>
      <w:pPr>
        <w:spacing w:after="0"/>
        <w:ind w:left="0"/>
        <w:jc w:val="both"/>
      </w:pPr>
      <w:r>
        <w:rPr>
          <w:rFonts w:ascii="Times New Roman"/>
          <w:b w:val="false"/>
          <w:i w:val="false"/>
          <w:color w:val="000000"/>
          <w:sz w:val="28"/>
        </w:rPr>
        <w:t>
      5. Осы қаулы 2023 жылғы 1 шілдеден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2023 жылғы 26 маусымдағы</w:t>
            </w:r>
            <w:r>
              <w:br/>
            </w:r>
            <w:r>
              <w:rPr>
                <w:rFonts w:ascii="Times New Roman"/>
                <w:b w:val="false"/>
                <w:i w:val="false"/>
                <w:color w:val="000000"/>
                <w:sz w:val="20"/>
              </w:rPr>
              <w:t>№ 62 Қаулыға</w:t>
            </w:r>
            <w:r>
              <w:br/>
            </w:r>
            <w:r>
              <w:rPr>
                <w:rFonts w:ascii="Times New Roman"/>
                <w:b w:val="false"/>
                <w:i w:val="false"/>
                <w:color w:val="000000"/>
                <w:sz w:val="20"/>
              </w:rPr>
              <w:t>1-қосымша</w:t>
            </w:r>
          </w:p>
        </w:tc>
      </w:tr>
    </w:tbl>
    <w:bookmarkStart w:name="z13" w:id="7"/>
    <w:p>
      <w:pPr>
        <w:spacing w:after="0"/>
        <w:ind w:left="0"/>
        <w:jc w:val="left"/>
      </w:pPr>
      <w:r>
        <w:rPr>
          <w:rFonts w:ascii="Times New Roman"/>
          <w:b/>
          <w:i w:val="false"/>
          <w:color w:val="000000"/>
        </w:rPr>
        <w:t xml:space="preserve"> Зейнетақы активтері сенімгерлік басқаруға берілуі мүмкін инвестициялық портфельді басқарушыға қойылатын талаптар</w:t>
      </w:r>
    </w:p>
    <w:bookmarkEnd w:id="7"/>
    <w:bookmarkStart w:name="z14"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Зейнетақы активтері сенімгерлік басқаруға берілуі мүмкін инвестициялық портфельді басқарушыларға қойылатын талаптар (бұдан әрі – Талаптар) Қазақстан Республикасының Әлеуметтік кодексі 15-бабының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зейнетақы активтері сенімгерлік басқаруға берілуі мүмкін инвестициялық портфельді басқарушыларға қойылатын талаптарды белгілейді.</w:t>
      </w:r>
    </w:p>
    <w:bookmarkStart w:name="z16" w:id="9"/>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 (бұдан әрі – уәкілетті орган) зейнетақы активтерін басқаруды жүзеге асыру үшін Талаптардың 3-тармағында белгіленген талаптарға сәйкес келетін инвестициялық портфельді басқарушылардың тізілімін (бұдан әрі – басқарушылар тізілімі) жүргізеді және өзінің интернет-ресурсына орналастырады.</w:t>
      </w:r>
    </w:p>
    <w:bookmarkEnd w:id="9"/>
    <w:p>
      <w:pPr>
        <w:spacing w:after="0"/>
        <w:ind w:left="0"/>
        <w:jc w:val="both"/>
      </w:pPr>
      <w:r>
        <w:rPr>
          <w:rFonts w:ascii="Times New Roman"/>
          <w:b w:val="false"/>
          <w:i w:val="false"/>
          <w:color w:val="000000"/>
          <w:sz w:val="28"/>
        </w:rPr>
        <w:t>
      Басқарушылар тізілімінде көрсетілген мәліметтерді уәкілетті орган инвестициялық портфельді басқарушының Талаптардың 3-тармағында белгіленген талаптарға сәйкестігінің фактісін айқындаған күннен бастап үш жұмыс күні ішінде өзінің интернет-ресурсында жаңартып отырады.</w:t>
      </w:r>
    </w:p>
    <w:bookmarkStart w:name="z17" w:id="10"/>
    <w:p>
      <w:pPr>
        <w:spacing w:after="0"/>
        <w:ind w:left="0"/>
        <w:jc w:val="left"/>
      </w:pPr>
      <w:r>
        <w:rPr>
          <w:rFonts w:ascii="Times New Roman"/>
          <w:b/>
          <w:i w:val="false"/>
          <w:color w:val="000000"/>
        </w:rPr>
        <w:t xml:space="preserve"> 2-тарау. Зейнетақы активтері сенімгерлік басқаруға берілуі мүмкін инвестициялық портфельді басқарушыларға қойылатын талаптар</w:t>
      </w:r>
    </w:p>
    <w:bookmarkEnd w:id="10"/>
    <w:bookmarkStart w:name="z18" w:id="11"/>
    <w:p>
      <w:pPr>
        <w:spacing w:after="0"/>
        <w:ind w:left="0"/>
        <w:jc w:val="both"/>
      </w:pPr>
      <w:r>
        <w:rPr>
          <w:rFonts w:ascii="Times New Roman"/>
          <w:b w:val="false"/>
          <w:i w:val="false"/>
          <w:color w:val="000000"/>
          <w:sz w:val="28"/>
        </w:rPr>
        <w:t>
      3. Басқарушылар тізіліміне енгізу үшін инвестициялық портфельді басқарушы мынадай талаптарға сәйкес келуге тиіс:</w:t>
      </w:r>
    </w:p>
    <w:bookmarkEnd w:id="11"/>
    <w:bookmarkStart w:name="z19" w:id="12"/>
    <w:p>
      <w:pPr>
        <w:spacing w:after="0"/>
        <w:ind w:left="0"/>
        <w:jc w:val="both"/>
      </w:pPr>
      <w:r>
        <w:rPr>
          <w:rFonts w:ascii="Times New Roman"/>
          <w:b w:val="false"/>
          <w:i w:val="false"/>
          <w:color w:val="000000"/>
          <w:sz w:val="28"/>
        </w:rPr>
        <w:t>
      1) меншікті капиталдың мөлшері кемінде 440 000 (төрт жүз қырық мың) айлық есептік көрсеткішті құрайды;</w:t>
      </w:r>
    </w:p>
    <w:bookmarkEnd w:id="12"/>
    <w:bookmarkStart w:name="z20" w:id="13"/>
    <w:p>
      <w:pPr>
        <w:spacing w:after="0"/>
        <w:ind w:left="0"/>
        <w:jc w:val="both"/>
      </w:pPr>
      <w:r>
        <w:rPr>
          <w:rFonts w:ascii="Times New Roman"/>
          <w:b w:val="false"/>
          <w:i w:val="false"/>
          <w:color w:val="000000"/>
          <w:sz w:val="28"/>
        </w:rPr>
        <w:t>
      2) басқарушылар тізіліміне енгізілген күннің алдындағы соңғы 36 (отыз алты) ай ішінде Талаптардың 4-тармағында белгіленген тәртіппен есептелген кемінде 5 000 000 000 (бес миллиард) теңге сомасында инвестициялық портфельді басқару тәжірибесінің болуы;</w:t>
      </w:r>
    </w:p>
    <w:bookmarkEnd w:id="13"/>
    <w:bookmarkStart w:name="z21" w:id="14"/>
    <w:p>
      <w:pPr>
        <w:spacing w:after="0"/>
        <w:ind w:left="0"/>
        <w:jc w:val="both"/>
      </w:pPr>
      <w:r>
        <w:rPr>
          <w:rFonts w:ascii="Times New Roman"/>
          <w:b w:val="false"/>
          <w:i w:val="false"/>
          <w:color w:val="000000"/>
          <w:sz w:val="28"/>
        </w:rPr>
        <w:t>
      3) инвестициялық портфельді басқарушының басқарушылардың тізіліміне енгізу күнінің алдындағы соңғы 2 (екі) аяқталған қаржы жылының әрқайсысының нәтижелері бойынша аудиторлық есеппен расталған, қызметінің зиян шеккен фактілерінің болмауы;</w:t>
      </w:r>
    </w:p>
    <w:bookmarkEnd w:id="14"/>
    <w:bookmarkStart w:name="z22" w:id="15"/>
    <w:p>
      <w:pPr>
        <w:spacing w:after="0"/>
        <w:ind w:left="0"/>
        <w:jc w:val="both"/>
      </w:pPr>
      <w:r>
        <w:rPr>
          <w:rFonts w:ascii="Times New Roman"/>
          <w:b w:val="false"/>
          <w:i w:val="false"/>
          <w:color w:val="000000"/>
          <w:sz w:val="28"/>
        </w:rPr>
        <w:t>
      4) басқарушылардың тізіліміне енгізу күнінің алдындағы соңғы 6 (алты) айдың ішінде уәкілетті орган белгілеген пруденциялық нормативтерді бұзу фактілерінің болмауы;</w:t>
      </w:r>
    </w:p>
    <w:bookmarkEnd w:id="15"/>
    <w:bookmarkStart w:name="z23" w:id="16"/>
    <w:p>
      <w:pPr>
        <w:spacing w:after="0"/>
        <w:ind w:left="0"/>
        <w:jc w:val="both"/>
      </w:pPr>
      <w:r>
        <w:rPr>
          <w:rFonts w:ascii="Times New Roman"/>
          <w:b w:val="false"/>
          <w:i w:val="false"/>
          <w:color w:val="000000"/>
          <w:sz w:val="28"/>
        </w:rPr>
        <w:t>
      5) басқарушылардың тізіліміне енгізу күні уәкілетті органның инвестициялық портфельді басқарушыға және (немесе) оның ірі қатысушысына қатысты қолданған, орындалмаған және (немесе) қолданыстағы қадағалап ден қою шараларының, санкциялардың, әкімшілік өндіріп алулардың және өзге де ықпал ету шараларының болмауы;</w:t>
      </w:r>
    </w:p>
    <w:bookmarkEnd w:id="16"/>
    <w:bookmarkStart w:name="z24" w:id="17"/>
    <w:p>
      <w:pPr>
        <w:spacing w:after="0"/>
        <w:ind w:left="0"/>
        <w:jc w:val="both"/>
      </w:pPr>
      <w:r>
        <w:rPr>
          <w:rFonts w:ascii="Times New Roman"/>
          <w:b w:val="false"/>
          <w:i w:val="false"/>
          <w:color w:val="000000"/>
          <w:sz w:val="28"/>
        </w:rPr>
        <w:t>
      6) басқарушылардың тізіліміне енгізу күні инвестициялық портфельді басқарушының қаржылық орнықтылығын арттыру жөніндегі ертерек ден қою шараларын және (немесе) қаржылық жай-күйді жақсарту және (немесе) тәуекелдерді барынша азайту шараларын көздейтін орындалмаған іс-шаралар жоспарларының болмауы;</w:t>
      </w:r>
    </w:p>
    <w:bookmarkEnd w:id="17"/>
    <w:bookmarkStart w:name="z25" w:id="18"/>
    <w:p>
      <w:pPr>
        <w:spacing w:after="0"/>
        <w:ind w:left="0"/>
        <w:jc w:val="both"/>
      </w:pPr>
      <w:r>
        <w:rPr>
          <w:rFonts w:ascii="Times New Roman"/>
          <w:b w:val="false"/>
          <w:i w:val="false"/>
          <w:color w:val="000000"/>
          <w:sz w:val="28"/>
        </w:rPr>
        <w:t>
      7) инвестициялық портфельді басқарушыда инвестициялық портфельді басқарушының дауыс беретін акцияларының он немесе одан көп пайызына иелік ететін (дауыс беру мүмкіндігі бар) және Қазақстан Республикасының резиденті немесе Standard &amp; Poor's (Стандарт энд Пурс) агенттігінің халықаралық шкаласы бойынша "ВВВ" төмен емес ұзақ мерзімді кредиттік рейтингтік бағасы немесе Moody's Investors Service (Мудис Инвесторс Сервис) немесе Fitch (Фич) агенттіктерінің осыған ұқсас деңгейдегі рейтингтік бағасы бар Қазақстан Республикасының бейрезидент-ұйымы болып табылатын акционерінің болуы;</w:t>
      </w:r>
    </w:p>
    <w:bookmarkEnd w:id="18"/>
    <w:bookmarkStart w:name="z26" w:id="19"/>
    <w:p>
      <w:pPr>
        <w:spacing w:after="0"/>
        <w:ind w:left="0"/>
        <w:jc w:val="both"/>
      </w:pPr>
      <w:r>
        <w:rPr>
          <w:rFonts w:ascii="Times New Roman"/>
          <w:b w:val="false"/>
          <w:i w:val="false"/>
          <w:color w:val="000000"/>
          <w:sz w:val="28"/>
        </w:rPr>
        <w:t>
      8) басқарушылардың тізіліміне енгізу күні енгізу күнінің алдындағы соңғы 12 (он екі) ай ішінде инвестициялық портфельді басқарушының және (немесе) оның басшы қызметкерлерінің іс-әрекеттерін бағалы қағаздар нарығында айла-шарғы жасау мақсатында жасалған деп тану фактілерінің болмауы;</w:t>
      </w:r>
    </w:p>
    <w:bookmarkEnd w:id="19"/>
    <w:bookmarkStart w:name="z27" w:id="20"/>
    <w:p>
      <w:pPr>
        <w:spacing w:after="0"/>
        <w:ind w:left="0"/>
        <w:jc w:val="both"/>
      </w:pPr>
      <w:r>
        <w:rPr>
          <w:rFonts w:ascii="Times New Roman"/>
          <w:b w:val="false"/>
          <w:i w:val="false"/>
          <w:color w:val="000000"/>
          <w:sz w:val="28"/>
        </w:rPr>
        <w:t>
      4. Талаптардың 3-тармағы 2) тармақшасының мақсаттары үшін уәкілетті орган инвестициялық портфельді басқарушыны басқарушылардың тізіліміне енгізген күннің алдындағы 36 (отыз алты) айдың әрқайсысының соңындағы жағдай бойынша үлестес емес клиенттердің инвестициялық портфельді басқарушының инвестициялық басқаруындағы активтері құнының (қаржы құралдарынан басқа өзге мүліктің құнын, акционерлік қоғамдар болып табылмайтын заңды тұлғалардың жарғылық капиталдарына қатысу үлестерін және дебиторлық берешек сомаларын қоспағанда) орташа арифметикалық мәні есепке алынады.</w:t>
      </w:r>
    </w:p>
    <w:bookmarkEnd w:id="20"/>
    <w:bookmarkStart w:name="z28" w:id="21"/>
    <w:p>
      <w:pPr>
        <w:spacing w:after="0"/>
        <w:ind w:left="0"/>
        <w:jc w:val="both"/>
      </w:pPr>
      <w:r>
        <w:rPr>
          <w:rFonts w:ascii="Times New Roman"/>
          <w:b w:val="false"/>
          <w:i w:val="false"/>
          <w:color w:val="000000"/>
          <w:sz w:val="28"/>
        </w:rPr>
        <w:t>
      5. Инвестициялық портфельді басқарушыда инвестициялық портфельді басқарушының дауыс беретін акцияларының он немесе одан көп пайызына иелік ететін (дауыс беру мүмкіндігі бар) және Standard &amp; Poor's (Стандарт энд Пурс) агенттігінің халықаралық шкаласы бойынша "ВВВ" төмен емес ұзақ мерзімді кредиттік рейтингтік бағасы немесе Moody's Investors Service (Мудис Инвесторс Сервис) немесе Fitch (Фич) агенттіктерінің осыған ұқсас деңгейдегі рейтингтік бағасы бар Қазақстан Республикасының бейрезидент-ұйымы болып табылатын акционері болған жағдайда:</w:t>
      </w:r>
    </w:p>
    <w:bookmarkEnd w:id="21"/>
    <w:bookmarkStart w:name="z29" w:id="22"/>
    <w:p>
      <w:pPr>
        <w:spacing w:after="0"/>
        <w:ind w:left="0"/>
        <w:jc w:val="both"/>
      </w:pPr>
      <w:r>
        <w:rPr>
          <w:rFonts w:ascii="Times New Roman"/>
          <w:b w:val="false"/>
          <w:i w:val="false"/>
          <w:color w:val="000000"/>
          <w:sz w:val="28"/>
        </w:rPr>
        <w:t>
      Талаптардың 3-тармағының 2) тармақшасының талаптарына сәйкес келу мақсаттарында осы Қазақстан Республикасы бейрезидент-ұйымының инвестициялық портфелін басқарудың белгіленген тәжірибесі қабылданады;</w:t>
      </w:r>
    </w:p>
    <w:bookmarkEnd w:id="22"/>
    <w:bookmarkStart w:name="z30" w:id="23"/>
    <w:p>
      <w:pPr>
        <w:spacing w:after="0"/>
        <w:ind w:left="0"/>
        <w:jc w:val="both"/>
      </w:pPr>
      <w:r>
        <w:rPr>
          <w:rFonts w:ascii="Times New Roman"/>
          <w:b w:val="false"/>
          <w:i w:val="false"/>
          <w:color w:val="000000"/>
          <w:sz w:val="28"/>
        </w:rPr>
        <w:t>
      Талаптардың 3-тармағының 3) тармақшасының талабы көрсетілген Қазақстан Республикасының бейрезидент-ұйымына және инвестициялық портфельді басқарушыға қатысты қолданылмайды.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Қаулығы 2-қосымша</w:t>
            </w:r>
          </w:p>
        </w:tc>
      </w:tr>
    </w:tbl>
    <w:bookmarkStart w:name="z32" w:id="24"/>
    <w:p>
      <w:pPr>
        <w:spacing w:after="0"/>
        <w:ind w:left="0"/>
        <w:jc w:val="left"/>
      </w:pPr>
      <w:r>
        <w:rPr>
          <w:rFonts w:ascii="Times New Roman"/>
          <w:b/>
          <w:i w:val="false"/>
          <w:color w:val="000000"/>
        </w:rPr>
        <w:t xml:space="preserve"> Инвестициялық портфельді басқарушының сенімгерлік басқаруындағы зейнетақы активтері есебінен сатып алуға рұқсат етілген қаржы құралдарының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құралының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 (оның ішінде шет мемлекеттердің заңнамасына сәйкес бастама жасалған), сондай-ақ Қазақстан Республикасы Үкіметінің кепілдеме беруімен және (немесе) кепілімен шығарылған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борыштық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заңды тұлға шығарған борыштық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Қазақстан Республикасының екінші деңгейдегі банктеріндегі салымдар:</w:t>
            </w:r>
          </w:p>
          <w:p>
            <w:pPr>
              <w:spacing w:after="20"/>
              <w:ind w:left="20"/>
              <w:jc w:val="both"/>
            </w:pPr>
            <w:r>
              <w:rPr>
                <w:rFonts w:ascii="Times New Roman"/>
                <w:b w:val="false"/>
                <w:i w:val="false"/>
                <w:color w:val="000000"/>
                <w:sz w:val="20"/>
              </w:rPr>
              <w:t>
Standard &amp;Poor's (Стандард энд Пурс) агенттігінің халықаралық шкаласы бойынша "ВВ-"-тен төмен емес ұзақ мерзімді кредиттік рейтингі немесе Moody's Investors Service (Мудис Инвесторс Сервис) немесе Fitch (Фич) агенттіктерінің осыған ұқсас деңгейдегі рейтингтік бағасы бар немесе Standard &amp; Poor's (Стандард энд Пурс) ұлттық шкаласы бойынша "kzА-"-тен төмен емес рейтингтік бағасы бар банктер;</w:t>
            </w:r>
          </w:p>
          <w:p>
            <w:pPr>
              <w:spacing w:after="20"/>
              <w:ind w:left="20"/>
              <w:jc w:val="both"/>
            </w:pPr>
            <w:r>
              <w:rPr>
                <w:rFonts w:ascii="Times New Roman"/>
                <w:b w:val="false"/>
                <w:i w:val="false"/>
                <w:color w:val="000000"/>
                <w:sz w:val="20"/>
              </w:rPr>
              <w:t>
банктер бейрезидент бас банкiнің Standard &amp;Poor's (Стандард энд Пурс) агенттiгiнiң халықаралық шкаласы бойынша "А-"-тен төмен емес ұзақ мерзiмдi кредиттiк рейтингi немесе Moody's Investors Service (Мудис Инвесторс Сервис) немесе Fitch (Фич) агенттіктерінің осыған ұқсас деңгейдегi рейтингi бар резидент еншiлес банктері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"А-" тен төмен емес ұзақ мерзімді рейтингі немесе Moody's Investors Service (Мудис Инвесторс Сервис) немесе Fitch (Фич) агенттіктерінің осыған ұқсас деңгейдегі рейтингтік бағасы бар бейрезидент банктердегі салымдар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төмен емес рейтингтік бағасы немесе Moody's Investors Service (Мудис Инвесторс Сервис) немесе Fitch (Фич) агенттіктерінің осыған ұқсас деңгейдегі рейтингтік бағасы бар мынадай халықаралық қаржы ұйымдары шығарған борыштық бағалы қағаздар: Азия даму банкі (the Asian Development Bank);</w:t>
            </w:r>
          </w:p>
          <w:p>
            <w:pPr>
              <w:spacing w:after="20"/>
              <w:ind w:left="20"/>
              <w:jc w:val="both"/>
            </w:pPr>
            <w:r>
              <w:rPr>
                <w:rFonts w:ascii="Times New Roman"/>
                <w:b w:val="false"/>
                <w:i w:val="false"/>
                <w:color w:val="000000"/>
                <w:sz w:val="20"/>
              </w:rPr>
              <w:t xml:space="preserve">
Америкааралық даму банкі (the Inter-American Development Bank); </w:t>
            </w:r>
          </w:p>
          <w:p>
            <w:pPr>
              <w:spacing w:after="20"/>
              <w:ind w:left="20"/>
              <w:jc w:val="both"/>
            </w:pPr>
            <w:r>
              <w:rPr>
                <w:rFonts w:ascii="Times New Roman"/>
                <w:b w:val="false"/>
                <w:i w:val="false"/>
                <w:color w:val="000000"/>
                <w:sz w:val="20"/>
              </w:rPr>
              <w:t xml:space="preserve">
Африка даму банкі (the African Development Bank); </w:t>
            </w:r>
          </w:p>
          <w:p>
            <w:pPr>
              <w:spacing w:after="20"/>
              <w:ind w:left="20"/>
              <w:jc w:val="both"/>
            </w:pPr>
            <w:r>
              <w:rPr>
                <w:rFonts w:ascii="Times New Roman"/>
                <w:b w:val="false"/>
                <w:i w:val="false"/>
                <w:color w:val="000000"/>
                <w:sz w:val="20"/>
              </w:rPr>
              <w:t>
Еуропа қайта құру және даму банкі (the European Bank for Reconstruction and Development);</w:t>
            </w:r>
          </w:p>
          <w:p>
            <w:pPr>
              <w:spacing w:after="20"/>
              <w:ind w:left="20"/>
              <w:jc w:val="both"/>
            </w:pPr>
            <w:r>
              <w:rPr>
                <w:rFonts w:ascii="Times New Roman"/>
                <w:b w:val="false"/>
                <w:i w:val="false"/>
                <w:color w:val="000000"/>
                <w:sz w:val="20"/>
              </w:rPr>
              <w:t>
Еуропа инвестициялық банкі (the European Investment Bank);</w:t>
            </w:r>
          </w:p>
          <w:p>
            <w:pPr>
              <w:spacing w:after="20"/>
              <w:ind w:left="20"/>
              <w:jc w:val="both"/>
            </w:pPr>
            <w:r>
              <w:rPr>
                <w:rFonts w:ascii="Times New Roman"/>
                <w:b w:val="false"/>
                <w:i w:val="false"/>
                <w:color w:val="000000"/>
                <w:sz w:val="20"/>
              </w:rPr>
              <w:t>
Еуропалық Кеңестің Даму Банкі;</w:t>
            </w:r>
          </w:p>
          <w:p>
            <w:pPr>
              <w:spacing w:after="20"/>
              <w:ind w:left="20"/>
              <w:jc w:val="both"/>
            </w:pPr>
            <w:r>
              <w:rPr>
                <w:rFonts w:ascii="Times New Roman"/>
                <w:b w:val="false"/>
                <w:i w:val="false"/>
                <w:color w:val="000000"/>
                <w:sz w:val="20"/>
              </w:rPr>
              <w:t>
(the Council of Europe Development Bank);</w:t>
            </w:r>
          </w:p>
          <w:p>
            <w:pPr>
              <w:spacing w:after="20"/>
              <w:ind w:left="20"/>
              <w:jc w:val="both"/>
            </w:pPr>
            <w:r>
              <w:rPr>
                <w:rFonts w:ascii="Times New Roman"/>
                <w:b w:val="false"/>
                <w:i w:val="false"/>
                <w:color w:val="000000"/>
                <w:sz w:val="20"/>
              </w:rPr>
              <w:t>
Жеке Секторды Дамыту жөніндегі Ислам Корпорациясы (the Islamic Corporation for the Development of the Private Sector);</w:t>
            </w:r>
          </w:p>
          <w:p>
            <w:pPr>
              <w:spacing w:after="20"/>
              <w:ind w:left="20"/>
              <w:jc w:val="both"/>
            </w:pPr>
            <w:r>
              <w:rPr>
                <w:rFonts w:ascii="Times New Roman"/>
                <w:b w:val="false"/>
                <w:i w:val="false"/>
                <w:color w:val="000000"/>
                <w:sz w:val="20"/>
              </w:rPr>
              <w:t>
Ислам даму банкі (the Islamic Development Bank);</w:t>
            </w:r>
          </w:p>
          <w:p>
            <w:pPr>
              <w:spacing w:after="20"/>
              <w:ind w:left="20"/>
              <w:jc w:val="both"/>
            </w:pPr>
            <w:r>
              <w:rPr>
                <w:rFonts w:ascii="Times New Roman"/>
                <w:b w:val="false"/>
                <w:i w:val="false"/>
                <w:color w:val="000000"/>
                <w:sz w:val="20"/>
              </w:rPr>
              <w:t>
Инвестициялар Кепілдігінің Көпжақты Агенттігі (the Multilateral Investment Guarantee Agency);</w:t>
            </w:r>
          </w:p>
          <w:p>
            <w:pPr>
              <w:spacing w:after="20"/>
              <w:ind w:left="20"/>
              <w:jc w:val="both"/>
            </w:pPr>
            <w:r>
              <w:rPr>
                <w:rFonts w:ascii="Times New Roman"/>
                <w:b w:val="false"/>
                <w:i w:val="false"/>
                <w:color w:val="000000"/>
                <w:sz w:val="20"/>
              </w:rPr>
              <w:t>
Скандинавиялық инвестициялық банк (the Nordic Investment Bank);</w:t>
            </w:r>
          </w:p>
          <w:p>
            <w:pPr>
              <w:spacing w:after="20"/>
              <w:ind w:left="20"/>
              <w:jc w:val="both"/>
            </w:pPr>
            <w:r>
              <w:rPr>
                <w:rFonts w:ascii="Times New Roman"/>
                <w:b w:val="false"/>
                <w:i w:val="false"/>
                <w:color w:val="000000"/>
                <w:sz w:val="20"/>
              </w:rPr>
              <w:t>
Халықаралық валюта қоры (the International Monetary Fund);</w:t>
            </w:r>
          </w:p>
          <w:p>
            <w:pPr>
              <w:spacing w:after="20"/>
              <w:ind w:left="20"/>
              <w:jc w:val="both"/>
            </w:pPr>
            <w:r>
              <w:rPr>
                <w:rFonts w:ascii="Times New Roman"/>
                <w:b w:val="false"/>
                <w:i w:val="false"/>
                <w:color w:val="000000"/>
                <w:sz w:val="20"/>
              </w:rPr>
              <w:t>
Халықаралық даму қоғамдастығы (the International Development Association);</w:t>
            </w:r>
          </w:p>
          <w:p>
            <w:pPr>
              <w:spacing w:after="20"/>
              <w:ind w:left="20"/>
              <w:jc w:val="both"/>
            </w:pPr>
            <w:r>
              <w:rPr>
                <w:rFonts w:ascii="Times New Roman"/>
                <w:b w:val="false"/>
                <w:i w:val="false"/>
                <w:color w:val="000000"/>
                <w:sz w:val="20"/>
              </w:rPr>
              <w:t>
Инвестициялық Дауларды Реттеу жөніндегі Халықаралық Орталық (the International Centre for Settlement of Investment Disputes);</w:t>
            </w:r>
          </w:p>
          <w:p>
            <w:pPr>
              <w:spacing w:after="20"/>
              <w:ind w:left="20"/>
              <w:jc w:val="both"/>
            </w:pPr>
            <w:r>
              <w:rPr>
                <w:rFonts w:ascii="Times New Roman"/>
                <w:b w:val="false"/>
                <w:i w:val="false"/>
                <w:color w:val="000000"/>
                <w:sz w:val="20"/>
              </w:rPr>
              <w:t>
Халықаралық қайта құру және даму банкі (the International Bank for Reconstruction and Development);</w:t>
            </w:r>
          </w:p>
          <w:p>
            <w:pPr>
              <w:spacing w:after="20"/>
              <w:ind w:left="20"/>
              <w:jc w:val="both"/>
            </w:pPr>
            <w:r>
              <w:rPr>
                <w:rFonts w:ascii="Times New Roman"/>
                <w:b w:val="false"/>
                <w:i w:val="false"/>
                <w:color w:val="000000"/>
                <w:sz w:val="20"/>
              </w:rPr>
              <w:t>
Халықаралық қаржы корпорациясы (the International Finance Corporation);</w:t>
            </w:r>
          </w:p>
          <w:p>
            <w:pPr>
              <w:spacing w:after="20"/>
              <w:ind w:left="20"/>
              <w:jc w:val="both"/>
            </w:pPr>
            <w:r>
              <w:rPr>
                <w:rFonts w:ascii="Times New Roman"/>
                <w:b w:val="false"/>
                <w:i w:val="false"/>
                <w:color w:val="000000"/>
                <w:sz w:val="20"/>
              </w:rPr>
              <w:t>
сондай-ақ, жарғылық капиталындағы Қазақстан Республикасының үлесі кемінде 25%-ды құрайтын халықаралық қаржы ұйымы шығарған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төмен емес тәуелсіз рейтингі немесе Moody's Investors Service (Мудис Инвесторс Сервис) немесе Fitch (Фич) агенттіктерінің осыған ұқсас деңгейдегі рейтингі бар шет мемлекеттердің орталық үкіметтері шығарған, мемлекеттік мәртебесі бар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 шығарған мемлекеттік емес бағалы қағаздар:</w:t>
            </w:r>
          </w:p>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төмен емес рейтингтік бағасы немесе Moody's Investors Service (Мудис Инвесторс Сервис) немесе Fitch (Фич) агенттіктерінің осыған ұқсас деңгейдегі рейтингік бағасы бар шетелдік эмитенттердің акциялары және базалық активі осы акциялар болып табылатын депозитарлық қолхаттар;</w:t>
            </w:r>
          </w:p>
          <w:p>
            <w:pPr>
              <w:spacing w:after="20"/>
              <w:ind w:left="20"/>
              <w:jc w:val="both"/>
            </w:pPr>
            <w:r>
              <w:rPr>
                <w:rFonts w:ascii="Times New Roman"/>
                <w:b w:val="false"/>
                <w:i w:val="false"/>
                <w:color w:val="000000"/>
                <w:sz w:val="20"/>
              </w:rPr>
              <w:t>
негізгі қор индекстерінің құрамына кіретін шетелдік эмитенттердің акциялары және базалық активі осы акциялар болып табылатын депозитарлық қолхаттар;</w:t>
            </w:r>
          </w:p>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төмен емес рейтингтік бағасы немесе Moody's Investors Service (Мудис Инвесторс Сервис) немесе Fitch (Фич) агенттіктерінің осындай деңгейдегі рейтингтік бағасы бар борыштық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немесе басқа мемлекеттердің заңнамасына сәйкес Қазақстан Республикасының ұйымдары шығарған мемлекеттік емес бағалы қағаздар:</w:t>
            </w:r>
          </w:p>
          <w:p>
            <w:pPr>
              <w:spacing w:after="20"/>
              <w:ind w:left="20"/>
              <w:jc w:val="both"/>
            </w:pPr>
            <w:r>
              <w:rPr>
                <w:rFonts w:ascii="Times New Roman"/>
                <w:b w:val="false"/>
                <w:i w:val="false"/>
                <w:color w:val="000000"/>
                <w:sz w:val="20"/>
              </w:rPr>
              <w:t>
қор биржасында инвесторлардың ауқымды тобы арасында жария ұсыныс (сату) шеңберінде орналастырылған (орналастырылатын) Қазақстан Республикасының квазимемлекеттік секторы эмитенттерінің акциялары және (немесе) осы акциялар базалық активі болып табылатын депозитарлық қолхаттар;</w:t>
            </w:r>
          </w:p>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w:t>
            </w:r>
          </w:p>
          <w:p>
            <w:pPr>
              <w:spacing w:after="20"/>
              <w:ind w:left="20"/>
              <w:jc w:val="both"/>
            </w:pPr>
            <w:r>
              <w:rPr>
                <w:rFonts w:ascii="Times New Roman"/>
                <w:b w:val="false"/>
                <w:i w:val="false"/>
                <w:color w:val="000000"/>
                <w:sz w:val="20"/>
              </w:rPr>
              <w:t>
негізгі қор индекстерінің құрамына кіретін заңды тұлғалардың акциялары;</w:t>
            </w:r>
          </w:p>
          <w:p>
            <w:pPr>
              <w:spacing w:after="20"/>
              <w:ind w:left="20"/>
              <w:jc w:val="both"/>
            </w:pPr>
            <w:r>
              <w:rPr>
                <w:rFonts w:ascii="Times New Roman"/>
                <w:b w:val="false"/>
                <w:i w:val="false"/>
                <w:color w:val="000000"/>
                <w:sz w:val="20"/>
              </w:rPr>
              <w:t>
Қазақстан Республикасының немесе басқа мемлекеттердің заңнамасына сәйкес Қазақстан Республикасының ұйымдары шығарған Standard &amp;Poor's (Стандард энд Пурс) агенттігінің халықаралық шкаласы бойынша "В+"-тен төмен емес рейтингтік бағасы немесе Moody's Investors Service (Мудис Инвесторс Сервис) немесе Fitch (Фич) агенттіктерінің осыған ұқсас деңгейдегі рейтингтік бағасы бар немесе Standard &amp; Poor's (Стандард энд Пурс) ұлттық шкаласы бойынша "kzBBB"-тен төмен емес рейтингтік бағасы бар борыштық бағалы қағаздар;</w:t>
            </w:r>
          </w:p>
          <w:p>
            <w:pPr>
              <w:spacing w:after="20"/>
              <w:ind w:left="20"/>
              <w:jc w:val="both"/>
            </w:pPr>
            <w:r>
              <w:rPr>
                <w:rFonts w:ascii="Times New Roman"/>
                <w:b w:val="false"/>
                <w:i w:val="false"/>
                <w:color w:val="000000"/>
                <w:sz w:val="20"/>
              </w:rPr>
              <w:t>
осы эмитенттің бұрын шығарылған бағалы қағаздарына не өзге міндеттемелеріне айырбастау мақсатында эмитент міндеттемелерін қайта құрылымдау шеңберінде шығарылған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осы мемлекеттік емес борыштық бағалы қағаздардың номиналдық құнының кемінде 50 (елу) пайызын өтейтін "Даму" кәсіпкерлікті дамыту қоры" акционерлік қоғамының және (немесе) "Қазақстан Даму банкі" акционерлік қоғамының кепілдігі бар және қор биржасының ресми тізімінің "Негізгі" не "Баламалы" алаңдары "борыштық бағалы қағаздар" секторына енгізілген, Қазақстан Республикасының Кәсіпкерлік кодексіне сәйкес шағын немесе орта кәсіпкерлікке жатқызылған субъектілер шығарған мемлекеттік емес борыштық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Morningstar рейтингтік агенттігінің "3 жұлдыздан" төмен емес рейтингтік бағасы бар Exchange Traded Funds (ETF) (Эксчейндж Трэйдэд Фандс), Exchange Traded Commodities (ETC) (Эксчейндж Трэйдэд Коммодитис), Exchange Traded Notes (ETN) (Эксчейндж Трэйдэд Ноутс) пайлары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компаниясы Қазақстан Республикасының заңнамасына сәйкес құрылған заңды тұлға болып табылатын, қор биржасының ресми тізіміне енгізілген, қор биржасының ресми тізімі "Аралас" алаңының "инвестициялық қорлардың бағалы қағаздары" секторының талаптарына сәйкес келетін аралық инвестициялық пай қорларының пайлары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пайлары бойынша баға белгілеу негізгі қор индекстеріне байланыстырылған Exchange Traded Funds (ETF) (Эксчейндж Трэйдэд Фандс) пайлары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"ВВВ"-ден төмен емес тәуелсіз рейтингі немесе Moody's Investors Service (Мудис Инвесторс Сервис) немесе Fitch (Фич) агенттіктерінің осындай деңгейдегі рейтингі бар елдердің шетел валютасы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бағалы металдар нарығының қауымдастығы (London bullion market association) қабылдаған және "Лондондық сапалы өнім беру" ("London good delivery") стандарты ретінде осы қауымдастықтың құжаттарында белгіленген халықаралық сапа стандарттарына сай келетін тазартылған бағалы металдар және Standard &amp; Poor's (Стандард энд Пурс) агенттігінің "АА"-ден төмен емес рейтингтік бағасы немесе Moody's Investors Service (Мудис Инвесторс Сервис) немесе Fitch (Фич) агенттіктерінің осындай деңгейдегі рейтингі бар Қазақстан Республикасының бейрезидент-банктеріндегі он екі айдан аспайтын мерзімге металл депозиттер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Хеджирлеу мақсатында жасалған, базалық активі осы Тізбеге сәйкес зейнетақы активтері есебінен сатып алуға рұқсат етілген қаржы құралдары болып табылатын мынадай туынды қаржы құралдары:</w:t>
            </w:r>
          </w:p>
          <w:p>
            <w:pPr>
              <w:spacing w:after="20"/>
              <w:ind w:left="20"/>
              <w:jc w:val="both"/>
            </w:pPr>
            <w:r>
              <w:rPr>
                <w:rFonts w:ascii="Times New Roman"/>
                <w:b w:val="false"/>
                <w:i w:val="false"/>
                <w:color w:val="000000"/>
                <w:sz w:val="20"/>
              </w:rPr>
              <w:t>
опциондар;</w:t>
            </w:r>
          </w:p>
          <w:p>
            <w:pPr>
              <w:spacing w:after="20"/>
              <w:ind w:left="20"/>
              <w:jc w:val="both"/>
            </w:pPr>
            <w:r>
              <w:rPr>
                <w:rFonts w:ascii="Times New Roman"/>
                <w:b w:val="false"/>
                <w:i w:val="false"/>
                <w:color w:val="000000"/>
                <w:sz w:val="20"/>
              </w:rPr>
              <w:t>
фьючерстер;</w:t>
            </w:r>
          </w:p>
          <w:p>
            <w:pPr>
              <w:spacing w:after="20"/>
              <w:ind w:left="20"/>
              <w:jc w:val="both"/>
            </w:pPr>
            <w:r>
              <w:rPr>
                <w:rFonts w:ascii="Times New Roman"/>
                <w:b w:val="false"/>
                <w:i w:val="false"/>
                <w:color w:val="000000"/>
                <w:sz w:val="20"/>
              </w:rPr>
              <w:t>
форвардтар;</w:t>
            </w:r>
          </w:p>
          <w:p>
            <w:pPr>
              <w:spacing w:after="20"/>
              <w:ind w:left="20"/>
              <w:jc w:val="both"/>
            </w:pPr>
            <w:r>
              <w:rPr>
                <w:rFonts w:ascii="Times New Roman"/>
                <w:b w:val="false"/>
                <w:i w:val="false"/>
                <w:color w:val="000000"/>
                <w:sz w:val="20"/>
              </w:rPr>
              <w:t>
своптар;</w:t>
            </w:r>
          </w:p>
          <w:p>
            <w:pPr>
              <w:spacing w:after="20"/>
              <w:ind w:left="20"/>
              <w:jc w:val="both"/>
            </w:pPr>
            <w:r>
              <w:rPr>
                <w:rFonts w:ascii="Times New Roman"/>
                <w:b w:val="false"/>
                <w:i w:val="false"/>
                <w:color w:val="000000"/>
                <w:sz w:val="20"/>
              </w:rPr>
              <w:t>
жоғарыда аталған туынды қаржы құралдарының жиынтығы болып табылатын туынды қаржы құралдары</w:t>
            </w:r>
          </w:p>
        </w:tc>
      </w:tr>
    </w:tbl>
    <w:bookmarkStart w:name="z33" w:id="25"/>
    <w:p>
      <w:pPr>
        <w:spacing w:after="0"/>
        <w:ind w:left="0"/>
        <w:jc w:val="both"/>
      </w:pPr>
      <w:r>
        <w:rPr>
          <w:rFonts w:ascii="Times New Roman"/>
          <w:b w:val="false"/>
          <w:i w:val="false"/>
          <w:color w:val="000000"/>
          <w:sz w:val="28"/>
        </w:rPr>
        <w:t>
      Ескертпе:</w:t>
      </w:r>
    </w:p>
    <w:bookmarkEnd w:id="25"/>
    <w:p>
      <w:pPr>
        <w:spacing w:after="0"/>
        <w:ind w:left="0"/>
        <w:jc w:val="both"/>
      </w:pPr>
      <w:r>
        <w:rPr>
          <w:rFonts w:ascii="Times New Roman"/>
          <w:b w:val="false"/>
          <w:i w:val="false"/>
          <w:color w:val="000000"/>
          <w:sz w:val="28"/>
        </w:rPr>
        <w:t>
      * оларға салынатын инвестициялардың жиынтық мөлшері инвестициялық портфельді басқарушының сенімгерлік басқаруындағы зейнетақы активтері құнының 3 (үш) пайызынан аспайтын осы Тізбенің 11-тармағында көрсетілген қаржы құралдарын қоспағанда, осы Тізбеде көрсетілген қаржы құралдарына зейнетақы активтерін инвестициялау лимиттері инвестициялық портфельді басқарушының инвестициялық декларациясында белгіленеді;</w:t>
      </w:r>
    </w:p>
    <w:p>
      <w:pPr>
        <w:spacing w:after="0"/>
        <w:ind w:left="0"/>
        <w:jc w:val="both"/>
      </w:pPr>
      <w:r>
        <w:rPr>
          <w:rFonts w:ascii="Times New Roman"/>
          <w:b w:val="false"/>
          <w:i w:val="false"/>
          <w:color w:val="000000"/>
          <w:sz w:val="28"/>
        </w:rPr>
        <w:t>
      ** осы Тізбенің мақсаттары үшін негізгі қор индекстері деп мынадай есептік көрсеткіштер (индекстер) түсініледі:</w:t>
      </w:r>
    </w:p>
    <w:p>
      <w:pPr>
        <w:spacing w:after="0"/>
        <w:ind w:left="0"/>
        <w:jc w:val="both"/>
      </w:pPr>
      <w:r>
        <w:rPr>
          <w:rFonts w:ascii="Times New Roman"/>
          <w:b w:val="false"/>
          <w:i w:val="false"/>
          <w:color w:val="000000"/>
          <w:sz w:val="28"/>
        </w:rPr>
        <w:t>
      САС 40 (Compagnie des Agents de Change 40 Index) (Компани дэ Эжон дэ Шанж 40 Андэкс);</w:t>
      </w:r>
    </w:p>
    <w:p>
      <w:pPr>
        <w:spacing w:after="0"/>
        <w:ind w:left="0"/>
        <w:jc w:val="both"/>
      </w:pPr>
      <w:r>
        <w:rPr>
          <w:rFonts w:ascii="Times New Roman"/>
          <w:b w:val="false"/>
          <w:i w:val="false"/>
          <w:color w:val="000000"/>
          <w:sz w:val="28"/>
        </w:rPr>
        <w:t>
      CSI 300 (Shanghai Shenzhen CSI 300 Index) (Шанхай Шенжен Си Эс Ай 300 Индекс);</w:t>
      </w:r>
    </w:p>
    <w:p>
      <w:pPr>
        <w:spacing w:after="0"/>
        <w:ind w:left="0"/>
        <w:jc w:val="both"/>
      </w:pPr>
      <w:r>
        <w:rPr>
          <w:rFonts w:ascii="Times New Roman"/>
          <w:b w:val="false"/>
          <w:i w:val="false"/>
          <w:color w:val="000000"/>
          <w:sz w:val="28"/>
        </w:rPr>
        <w:t>
      DAX (Deutscher Aktienindex) (Дойтче Акциениндекс);</w:t>
      </w:r>
    </w:p>
    <w:p>
      <w:pPr>
        <w:spacing w:after="0"/>
        <w:ind w:left="0"/>
        <w:jc w:val="both"/>
      </w:pPr>
      <w:r>
        <w:rPr>
          <w:rFonts w:ascii="Times New Roman"/>
          <w:b w:val="false"/>
          <w:i w:val="false"/>
          <w:color w:val="000000"/>
          <w:sz w:val="28"/>
        </w:rPr>
        <w:t>
      DJIA (Dow Jones Industrial Average) (Доу Джонс Индастриал Эвередж);</w:t>
      </w:r>
    </w:p>
    <w:p>
      <w:pPr>
        <w:spacing w:after="0"/>
        <w:ind w:left="0"/>
        <w:jc w:val="both"/>
      </w:pPr>
      <w:r>
        <w:rPr>
          <w:rFonts w:ascii="Times New Roman"/>
          <w:b w:val="false"/>
          <w:i w:val="false"/>
          <w:color w:val="000000"/>
          <w:sz w:val="28"/>
        </w:rPr>
        <w:t>
      FTSE 100 (Financial Times Stock Exchange 100 Index) (Файнэншл Таймс Сток Эксчейндж 100 Индекс);</w:t>
      </w:r>
    </w:p>
    <w:p>
      <w:pPr>
        <w:spacing w:after="0"/>
        <w:ind w:left="0"/>
        <w:jc w:val="both"/>
      </w:pPr>
      <w:r>
        <w:rPr>
          <w:rFonts w:ascii="Times New Roman"/>
          <w:b w:val="false"/>
          <w:i w:val="false"/>
          <w:color w:val="000000"/>
          <w:sz w:val="28"/>
        </w:rPr>
        <w:t>
      HSI (Hang Seng Index) (Ханг Сенг Индекс);</w:t>
      </w:r>
    </w:p>
    <w:p>
      <w:pPr>
        <w:spacing w:after="0"/>
        <w:ind w:left="0"/>
        <w:jc w:val="both"/>
      </w:pPr>
      <w:r>
        <w:rPr>
          <w:rFonts w:ascii="Times New Roman"/>
          <w:b w:val="false"/>
          <w:i w:val="false"/>
          <w:color w:val="000000"/>
          <w:sz w:val="28"/>
        </w:rPr>
        <w:t>
      KASE (Kazakhstan Stock Exchange Index) (Казакстан Сток Эксчейндж Индекс);</w:t>
      </w:r>
    </w:p>
    <w:p>
      <w:pPr>
        <w:spacing w:after="0"/>
        <w:ind w:left="0"/>
        <w:jc w:val="both"/>
      </w:pPr>
      <w:r>
        <w:rPr>
          <w:rFonts w:ascii="Times New Roman"/>
          <w:b w:val="false"/>
          <w:i w:val="false"/>
          <w:color w:val="000000"/>
          <w:sz w:val="28"/>
        </w:rPr>
        <w:t>
      KOSPI 200 (Korea Exchange KOSPI 200 Index) (Корея Эксчейндж Кэй Оу Эс Пи Ай 200 Индекс);</w:t>
      </w:r>
    </w:p>
    <w:p>
      <w:pPr>
        <w:spacing w:after="0"/>
        <w:ind w:left="0"/>
        <w:jc w:val="both"/>
      </w:pPr>
      <w:r>
        <w:rPr>
          <w:rFonts w:ascii="Times New Roman"/>
          <w:b w:val="false"/>
          <w:i w:val="false"/>
          <w:color w:val="000000"/>
          <w:sz w:val="28"/>
        </w:rPr>
        <w:t>
      MSCI World Index (Morgan Stanley Capital International World Index) (Морган Стэнли Кэпитал Интернешнл Ворлд Индекс);</w:t>
      </w:r>
    </w:p>
    <w:p>
      <w:pPr>
        <w:spacing w:after="0"/>
        <w:ind w:left="0"/>
        <w:jc w:val="both"/>
      </w:pPr>
      <w:r>
        <w:rPr>
          <w:rFonts w:ascii="Times New Roman"/>
          <w:b w:val="false"/>
          <w:i w:val="false"/>
          <w:color w:val="000000"/>
          <w:sz w:val="28"/>
        </w:rPr>
        <w:t>
      MOEX Russia (Moscow Exchange Russia Index) (Москоу Эксчейндж Раша Индекс);</w:t>
      </w:r>
    </w:p>
    <w:p>
      <w:pPr>
        <w:spacing w:after="0"/>
        <w:ind w:left="0"/>
        <w:jc w:val="both"/>
      </w:pPr>
      <w:r>
        <w:rPr>
          <w:rFonts w:ascii="Times New Roman"/>
          <w:b w:val="false"/>
          <w:i w:val="false"/>
          <w:color w:val="000000"/>
          <w:sz w:val="28"/>
        </w:rPr>
        <w:t>
      NASDAQ-100 (Nasdaq-100 Index) (Насдак-100 Индекс);</w:t>
      </w:r>
    </w:p>
    <w:p>
      <w:pPr>
        <w:spacing w:after="0"/>
        <w:ind w:left="0"/>
        <w:jc w:val="both"/>
      </w:pPr>
      <w:r>
        <w:rPr>
          <w:rFonts w:ascii="Times New Roman"/>
          <w:b w:val="false"/>
          <w:i w:val="false"/>
          <w:color w:val="000000"/>
          <w:sz w:val="28"/>
        </w:rPr>
        <w:t>
      NIKKEI 225 (Nikkei-225 Stock Average Index) (Никкэй-225 Сток Эвередж Индекс);</w:t>
      </w:r>
    </w:p>
    <w:p>
      <w:pPr>
        <w:spacing w:after="0"/>
        <w:ind w:left="0"/>
        <w:jc w:val="both"/>
      </w:pPr>
      <w:r>
        <w:rPr>
          <w:rFonts w:ascii="Times New Roman"/>
          <w:b w:val="false"/>
          <w:i w:val="false"/>
          <w:color w:val="000000"/>
          <w:sz w:val="28"/>
        </w:rPr>
        <w:t>
      Russell 1000 (The Russell 1000 Index) (Зэ Рассэл 1000 Индекс);</w:t>
      </w:r>
    </w:p>
    <w:p>
      <w:pPr>
        <w:spacing w:after="0"/>
        <w:ind w:left="0"/>
        <w:jc w:val="both"/>
      </w:pPr>
      <w:r>
        <w:rPr>
          <w:rFonts w:ascii="Times New Roman"/>
          <w:b w:val="false"/>
          <w:i w:val="false"/>
          <w:color w:val="000000"/>
          <w:sz w:val="28"/>
        </w:rPr>
        <w:t>
      RTSI (Russian Trade System Index) (Рашен Трейд Систем Индекс);</w:t>
      </w:r>
    </w:p>
    <w:p>
      <w:pPr>
        <w:spacing w:after="0"/>
        <w:ind w:left="0"/>
        <w:jc w:val="both"/>
      </w:pPr>
      <w:r>
        <w:rPr>
          <w:rFonts w:ascii="Times New Roman"/>
          <w:b w:val="false"/>
          <w:i w:val="false"/>
          <w:color w:val="000000"/>
          <w:sz w:val="28"/>
        </w:rPr>
        <w:t>
      S&amp;P 500 (Standard and Poor's 500 Index) (Стандард энд Пурс 500 Индекс);</w:t>
      </w:r>
    </w:p>
    <w:p>
      <w:pPr>
        <w:spacing w:after="0"/>
        <w:ind w:left="0"/>
        <w:jc w:val="both"/>
      </w:pPr>
      <w:r>
        <w:rPr>
          <w:rFonts w:ascii="Times New Roman"/>
          <w:b w:val="false"/>
          <w:i w:val="false"/>
          <w:color w:val="000000"/>
          <w:sz w:val="28"/>
        </w:rPr>
        <w:t>
      STOXX Europe Large 200 (The STOXX Europe Large 200 Index) (Зэ Эс Ти Оу Экс Экс Юроп Лардж 200 Индекс);</w:t>
      </w:r>
    </w:p>
    <w:p>
      <w:pPr>
        <w:spacing w:after="0"/>
        <w:ind w:left="0"/>
        <w:jc w:val="both"/>
      </w:pPr>
      <w:r>
        <w:rPr>
          <w:rFonts w:ascii="Times New Roman"/>
          <w:b w:val="false"/>
          <w:i w:val="false"/>
          <w:color w:val="000000"/>
          <w:sz w:val="28"/>
        </w:rPr>
        <w:t>
      TOPIX 100 (Tokyo Stock Price 100 Index) (Токио Сток Прайс 100 Индекс).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Қаулығы 3-қосымша</w:t>
            </w:r>
          </w:p>
        </w:tc>
      </w:tr>
    </w:tbl>
    <w:bookmarkStart w:name="z35" w:id="26"/>
    <w:p>
      <w:pPr>
        <w:spacing w:after="0"/>
        <w:ind w:left="0"/>
        <w:jc w:val="left"/>
      </w:pPr>
      <w:r>
        <w:rPr>
          <w:rFonts w:ascii="Times New Roman"/>
          <w:b/>
          <w:i w:val="false"/>
          <w:color w:val="000000"/>
        </w:rPr>
        <w:t xml:space="preserve"> Күші жойылды деп танылған Қазақстан Республикасы нормативтік құқықтық актісінің, сондай-ақ Қазақстан Республикасы нормативтік құқықтық актілерінің жекелеген құрылымдық элементтерінің тізбесі</w:t>
      </w:r>
    </w:p>
    <w:bookmarkEnd w:id="26"/>
    <w:p>
      <w:pPr>
        <w:spacing w:after="0"/>
        <w:ind w:left="0"/>
        <w:jc w:val="left"/>
      </w:pPr>
    </w:p>
    <w:p>
      <w:pPr>
        <w:spacing w:after="0"/>
        <w:ind w:left="0"/>
        <w:jc w:val="both"/>
      </w:pPr>
      <w:r>
        <w:rPr>
          <w:rFonts w:ascii="Times New Roman"/>
          <w:b w:val="false"/>
          <w:i w:val="false"/>
          <w:color w:val="000000"/>
          <w:sz w:val="28"/>
        </w:rPr>
        <w:t xml:space="preserve">
      1. "Зейнетақы активтері сенімгерлік басқаруға берілуі мүмкін инвестициялық портфельді басқарушыға қойылатын талаптарды, сондай-ақ осы зейнетақы активтерінің есебінен сатып алуға рұқсат етілген қаржы құралдарының тізбесін бекіту және "Инвестициялық портфельді басқару жөніндегі қызметті жүзеге асыру қағидаларын бекіту туралы" Қазақстан Республикасының Ұлттық Банкі Басқармасының 2014 жылғы 3 ақпандағы № 10 қаулысына өзгерістер мен толықтырулар енгізу туралы" Қазақстан Республикасы Қаржы нарығын реттеу және дамыту агенттігі Басқармасының 2021 жылғы 15 ақпандағы № 29 қаулысының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22218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"Зейнетақы активтері сенімгерлік басқаруға берілуі мүмкін инвестициялық портфельді басқарушыға қойылатын талаптарды, сондай-ақ осы зейнетақы активтерінің есебінен сатып алуға рұқсат етілген қаржы құралдарының тізбесін бекіту және "Инвестициялық портфельді басқару жөніндегі қызметті жүзеге асыру қағидаларын бекіту туралы" Қазақстан Республикасының Ұлттық Банкі Басқармасының 2014 жылғы 3 ақпандағы № 10 қаулысына өзгерістер мен толықтырулар енгізу туралы" Қазақстан Республикасының Қаржы нарығын реттеу және дамыту агенттігі Басқармасының 2021 жылғы 15 ақпандағы № 29 қаулысына өзгеріс енгізу туралы" Қазақстан Республикасы Қаржы нарығын реттеу және дамыту агенттігі Басқармасының 2021 жылғы 13 желтоқсандағы № 103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25935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бағалы қағаздар нарығын реттеу және дамыту мәселелері бойынша өзгерістер мен толықтырулар енгізу туралы" Қазақстан Республикасы Қаржы нарығын реттеу және дамыту агенттігі Басқармасының 2022 жылғы 12 қыркүйектегі № 66 қаулысымен (Нормативтік құқықтық актілерді мемлекеттік тіркеу тізілімінде № 29609 болып тіркелген) бекітілген Өзгерістер мен толықтыру енгізілетін Қазақстан Республикасының бағалы қағаздар нарығын реттеу және зейнетақымен қамсыздандыру мәселелері бойынша нормативтік құқықтық актілері тізбесінің </w:t>
      </w:r>
      <w:r>
        <w:rPr>
          <w:rFonts w:ascii="Times New Roman"/>
          <w:b w:val="false"/>
          <w:i w:val="false"/>
          <w:color w:val="000000"/>
          <w:sz w:val="28"/>
        </w:rPr>
        <w:t>7-тармағы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бағалы қағаздар нарығын реттеу және дамыту мәселелері бойынша өзгерістер мен толықтырулар енгізу туралы" Қазақстан Республикасы Қаржы нарығын реттеу және дамыту агенттігі Басқармасының 2023 жылғы 2 маусымдағы № 38 қаулысының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32713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