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e062" w14:textId="e75e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"Үйлердің, құрылыстардың, ғимараттардың энергия тиімділігі сыныптарын айқындау және қайта қарау қағидаларын бекіту туралы" Қазақстан Республикасы Инвестициялар және даму министрінің 2015 жылғы 31 наурыздағы № 399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11 шiлдедегi № 496 бұйрығы. Қазақстан Республикасының Әділет министрлігінде 2023 жылғы 12 шiлдеде № 33064 болып тіркелді</w:t>
      </w:r>
    </w:p>
    <w:p>
      <w:pPr>
        <w:spacing w:after="0"/>
        <w:ind w:left="0"/>
        <w:jc w:val="left"/>
      </w:pP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"Үйлердің, құрылыстардың, ғимараттардың энергия тиімділігі сыныптарын айқындау және қайта қарау қағидаларын бекіту туралы" Қазақстан Республикасы Инвестициялар және даму министрінің 2015 жылғы 31 наурыздағы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11312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Үйлердің, құрылыстардың, ғимараттардың энергия тиімділігі сыныптарын айқындау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Үйлердің, құрылыстардың, ғимараттардың энергия тиімділігі сыныбы:</w:t>
      </w:r>
    </w:p>
    <w:bookmarkStart w:name="z4" w:id="0"/>
    <w:p>
      <w:pPr>
        <w:spacing w:after="0"/>
        <w:ind w:left="0"/>
        <w:jc w:val="both"/>
      </w:pPr>
      <w:r>
        <w:rPr>
          <w:rFonts w:ascii="Times New Roman"/>
          <w:b w:val="false"/>
          <w:i w:val="false"/>
          <w:color w:val="000000"/>
          <w:sz w:val="28"/>
        </w:rPr>
        <w:t>
      1) күнтізбелік бір жыл ішінде тұтыну мөлшері бес жүз және одан көп тонна шартты отынға барабар үйлердiң, құрылыстардың, ғимараттардың жаңасын салу немесе қолданыстағыларын кеңейту (күрделі жөндеу, қайта жаңарту) жобалау (жобалау-сметалық) құжаттамасын орындау кезінде;</w:t>
      </w:r>
    </w:p>
    <w:bookmarkEnd w:id="0"/>
    <w:bookmarkStart w:name="z5" w:id="1"/>
    <w:p>
      <w:pPr>
        <w:spacing w:after="0"/>
        <w:ind w:left="0"/>
        <w:jc w:val="both"/>
      </w:pPr>
      <w:r>
        <w:rPr>
          <w:rFonts w:ascii="Times New Roman"/>
          <w:b w:val="false"/>
          <w:i w:val="false"/>
          <w:color w:val="000000"/>
          <w:sz w:val="28"/>
        </w:rPr>
        <w:t>
      2) жобалау (жобалау-сметалық) құжаттамасына тапсырыс берушінің бастамасымен күнтізбелік бір жыл ішінде энергетикалық ресурстарды тұтыну мөлшері бес жүз тонна шартты отыннан кем үйлердiң, құрылыстардың, ғимараттардың жаңаларын салудың немесе қолданыстағыларын кеңейтудің (күрделі жөндеу, қайта жаңарту) жобалау алдындағы және (немесе) жобалау (жобалау-сметалық) құжаттамасын орындаған кезде айқындалады.</w:t>
      </w:r>
    </w:p>
    <w:bookmarkEnd w:id="1"/>
    <w:bookmarkStart w:name="z6" w:id="2"/>
    <w:p>
      <w:pPr>
        <w:spacing w:after="0"/>
        <w:ind w:left="0"/>
        <w:jc w:val="both"/>
      </w:pPr>
      <w:r>
        <w:rPr>
          <w:rFonts w:ascii="Times New Roman"/>
          <w:b w:val="false"/>
          <w:i w:val="false"/>
          <w:color w:val="000000"/>
          <w:sz w:val="28"/>
        </w:rPr>
        <w:t>
      Жаңа үйлердің, құрылыстардың және ғимараттардың немесе кеңейтуден (реконструкциялаудан, күрделі жөндеуден) өткен қолданыстағы үйлердің, құрылыстардың және ғимараттардың энергия тиімділігі сыныбы туралы ақпарат салынған және пайдалануға берілген объектінің кадастрлық паспортының не объектіні пайдалануға қабылдау актісінің деректеріне сәйкес қабылданады және олар пайдалануға берілген сәттен бастап бес жыл ішінде жарамды болып табылады.";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Энергия тиімділігі сыныбы үйлердің, құрылыстардың, ғимараттардың кадастрлық паспортында көрсетіледі.".</w:t>
      </w:r>
    </w:p>
    <w:bookmarkStart w:name="z8"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2023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