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f0b6d" w14:textId="6ef0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2023 жылғы 13 шiлдедегі № 5 бұйрығы. Қазақстан Республикасының Әділет министрлігінде 2023 жылғы 17 шiлдеде № 33087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Start w:name="z3" w:id="0"/>
    <w:p>
      <w:pPr>
        <w:spacing w:after="0"/>
        <w:ind w:left="0"/>
        <w:jc w:val="both"/>
      </w:pPr>
      <w:r>
        <w:rPr>
          <w:rFonts w:ascii="Times New Roman"/>
          <w:b w:val="false"/>
          <w:i w:val="false"/>
          <w:color w:val="000000"/>
          <w:sz w:val="28"/>
        </w:rPr>
        <w:t>
      1. Мынадай:</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"Жалпымемлекеттік және (немесе) ведомстволық статистикалық байқаулар бойынша статистикалық нысандардың және оларды толтыру жөніндегі нұсқаулықтардың жобаларын тестілеуді және талқылауды респонденттердің ерікті негізде қатысуымен жүргізу қағидаларын бекіту туралы" Қазақстан Республикасы Ұлттық экономика министрлігі Статистика комитеті төрағасының 2018 жылғы 26 желтоқсандағы № 13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18068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"Уәкілетті органның қызметіне қанағаттанушылық деңгейін мониторингілеу мақсатында респонденттер мен пайдаланушыларға сауал салуды жүргізу қағидаларын бекіту туралы" Қазақстан Республикасы Ұлттық экономика министрлігі Статистика комитеті төрағасының 2018 жылғы 26 желтоқсандағы № 15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18046 болып тіркелген) күші жойылды деп танылсын.</w:t>
      </w:r>
    </w:p>
    <w:bookmarkStart w:name="z6" w:id="1"/>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Заң департаменті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министрлігi</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министрлігi</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министрлігi</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министрлігi</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министрлігi</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Экология және табиғи ресурстар </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