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30066" w14:textId="c0300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және қызметтік қару мен оның патрондарының айналымы қағидаларын бекіту туралы" Қазақстан Республикасы Ішкі істер министрінің 2019 жылғы 1 шілдедегі № 602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2023 жылғы 8 тамыздағы № 625 бұйрығы. Қазақстан Республикасының Әділет министрлігінде 2023 жылғы 10 тамызда № 33267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"Азаматтық және қызметтік қару мен оның патрондарының айналымы қағидаларын бекіту туралы" Қазақстан Республикасы Ішкі істер министрінің 2019 жылғы 1 шілдедегі № 602 (Нормативтiк құқықтық актiлерді мемлекеттiк тіркеу тізілімінде № 18961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Азаматтық және қызметтік қару мен оның патрондары айналымының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149-тармақтың</w:t>
      </w:r>
      <w:r>
        <w:rPr>
          <w:rFonts w:ascii="Times New Roman"/>
          <w:b w:val="false"/>
          <w:i w:val="false"/>
          <w:color w:val="000000"/>
          <w:sz w:val="28"/>
        </w:rPr>
        <w:t xml:space="preserve"> бірінші бөлігі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"149. Спорттық қаруды алып жүру және қолдану тәртібі Қазақстан Республикасы Мәдениет және спорт министрінің міндетін атқарушының 2023 жылғы 28 шілдедегі № 203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33185 болып тіркелген) спортпен шұғылдану кезiнде және оқу мақсатында қаруды қолдану қағидаларының талаптарына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185-тармақтың</w:t>
      </w:r>
      <w:r>
        <w:rPr>
          <w:rFonts w:ascii="Times New Roman"/>
          <w:b w:val="false"/>
          <w:i w:val="false"/>
          <w:color w:val="000000"/>
          <w:sz w:val="28"/>
        </w:rPr>
        <w:t xml:space="preserve"> 5) тармақшасы мынадай редакцияда жазылсын:</w:t>
      </w:r>
    </w:p>
    <w:bookmarkStart w:name="z7" w:id="1"/>
    <w:p>
      <w:pPr>
        <w:spacing w:after="0"/>
        <w:ind w:left="0"/>
        <w:jc w:val="both"/>
      </w:pPr>
      <w:r>
        <w:rPr>
          <w:rFonts w:ascii="Times New Roman"/>
          <w:b w:val="false"/>
          <w:i w:val="false"/>
          <w:color w:val="000000"/>
          <w:sz w:val="28"/>
        </w:rPr>
        <w:t>
      "5) жарақат салатын патрондармен ату мүмкіндігі бар ұңғысыз атыс, газды қарудың, электр қаруының, сондай-ақ жарақат салатын патрондардың зақымдаушы факторларының адам ағзасына тигізетін шекті әсері туралы денсаулық сақтау саласындағы уәкілетті орган берген қорытындының не қаруды әкелгеннен кейін адам ағзасына тигізетін шекті әсер нормаларына сәйкестігіне медициналық-биологиялық сынақтар өткізілгені туралы кепіл береді.</w:t>
      </w:r>
    </w:p>
    <w:bookmarkEnd w:id="1"/>
    <w:p>
      <w:pPr>
        <w:spacing w:after="0"/>
        <w:ind w:left="0"/>
        <w:jc w:val="both"/>
      </w:pPr>
      <w:r>
        <w:rPr>
          <w:rFonts w:ascii="Times New Roman"/>
          <w:b w:val="false"/>
          <w:i w:val="false"/>
          <w:color w:val="000000"/>
          <w:sz w:val="28"/>
        </w:rPr>
        <w:t xml:space="preserve">
      Егер қару мен патрондардың импорты кезінде Қарулы Күштер, басқа да әскерлер мен әскери құралымдар, арнаулы және құқық қорғау органдары соңғы тұтынушылар болып табылған жағдайда импортқа лицензия ресімдеу Қазақстан Республикасы Индустрия және инфрақұрылымдық даму министрінің 2023 жылғы 9 маусымдағы № 424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32767 болып тіркелген) Өзіндік ерекшелігі бар тауарлардың бақылау тізімін ескере отырып, әскери мақсаттағы өнім ретінде жүзеге асырылады.".</w:t>
      </w:r>
    </w:p>
    <w:bookmarkStart w:name="z8" w:id="2"/>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 заңнамада белгіленген тәртіпте:</w:t>
      </w:r>
    </w:p>
    <w:bookmarkEnd w:id="2"/>
    <w:bookmarkStart w:name="z9"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10" w:id="4"/>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 қамтамасыз етсін;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 орындау туралы мәліметтерді Қазақстан Республикасы Ішкі істер министрлігінің Заң департаментіне ұсынуды қамтамасыз етсін.</w:t>
      </w:r>
    </w:p>
    <w:bookmarkStart w:name="z12" w:id="5"/>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5"/>
    <w:bookmarkStart w:name="z13"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Экология және табиғи ресурстар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Мәдениет және спорт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