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8db9" w14:textId="53d8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 қазандағы № 17 бұйрығы. Қазақстан Республикасының Әділет министрлігінде 2023 жылғы 5 қазанда № 33508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Коммуналдық көрсетілетін қызметтерді ұсынудың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6" w:id="2"/>
    <w:p>
      <w:pPr>
        <w:spacing w:after="0"/>
        <w:ind w:left="0"/>
        <w:jc w:val="both"/>
      </w:pPr>
      <w:r>
        <w:rPr>
          <w:rFonts w:ascii="Times New Roman"/>
          <w:b w:val="false"/>
          <w:i w:val="false"/>
          <w:color w:val="000000"/>
          <w:sz w:val="28"/>
        </w:rPr>
        <w:t>
      мынадай мазмұндағы 3-1-тармақпен толықтырылсын:</w:t>
      </w:r>
    </w:p>
    <w:bookmarkEnd w:id="2"/>
    <w:bookmarkStart w:name="z7" w:id="3"/>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4"/>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22" w:id="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Start w:name="z24" w:id="1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1"/>
    <w:bookmarkStart w:name="z2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6" w:id="1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3"/>
    <w:bookmarkStart w:name="z2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14"/>
    <w:bookmarkStart w:name="z2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2 қазандағы</w:t>
            </w:r>
            <w:r>
              <w:br/>
            </w:r>
            <w:r>
              <w:rPr>
                <w:rFonts w:ascii="Times New Roman"/>
                <w:b w:val="false"/>
                <w:i w:val="false"/>
                <w:color w:val="000000"/>
                <w:sz w:val="20"/>
              </w:rPr>
              <w:t>№ 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1" w:id="16"/>
    <w:p>
      <w:pPr>
        <w:spacing w:after="0"/>
        <w:ind w:left="0"/>
        <w:jc w:val="left"/>
      </w:pPr>
      <w:r>
        <w:rPr>
          <w:rFonts w:ascii="Times New Roman"/>
          <w:b/>
          <w:i w:val="false"/>
          <w:color w:val="000000"/>
        </w:rPr>
        <w:t xml:space="preserve"> Бірыңғай төлем құжаты/Единый платежный документ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