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c63c" w14:textId="737c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қазандағы № 1056 бұйрығы. Қазақстан Республикасының Әділет министрлігінде 2023 жылғы 6 қазанда № 33518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144-11-тармақтың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"Арнаулы мемлекеттік қордың қаражаты Қазақстан Республикасының әлеуметтік, экономикалық жобаларын, сондай-ақ активтерді қайтару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активтерді қайтару жөніндегі уәкілетті органның шығыстарын қаржыландыру мақсатында орталық мемлекеттік органның арнаулы шотына республикалық бюджет комиссиясының шешімімен және әлеуметтік, экономикалық жобалардың мақұлданған Тізбесімен қоса төлеуге берілетін шот негізінде аударылады.</w:t>
      </w:r>
    </w:p>
    <w:p>
      <w:pPr>
        <w:spacing w:after="0"/>
        <w:ind w:left="0"/>
        <w:jc w:val="both"/>
      </w:pPr>
      <w:r>
        <w:rPr>
          <w:rFonts w:ascii="Times New Roman"/>
          <w:b w:val="false"/>
          <w:i w:val="false"/>
          <w:color w:val="000000"/>
          <w:sz w:val="28"/>
        </w:rPr>
        <w:t>
      Тиісті саланың орталық уәкілетті органының арнаулы шотынан қаражат республикалық бюджет комиссиясының шешімімен және әлеуметтік және экономикалық жобалардың мақұлданған Тізбесімен қоса төлеуге берілетін шот негізінде тиісті саланың жергілікті уәкілетті органының арнаулы шотына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1"/>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468-тармақтың</w:t>
      </w:r>
      <w:r>
        <w:rPr>
          <w:rFonts w:ascii="Times New Roman"/>
          <w:b w:val="false"/>
          <w:i w:val="false"/>
          <w:color w:val="000000"/>
          <w:sz w:val="28"/>
        </w:rPr>
        <w:t xml:space="preserve"> екінші бөлігі мынадай редакцияда жазылсын:</w:t>
      </w:r>
    </w:p>
    <w:bookmarkStart w:name="z9" w:id="2"/>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"469. Бюджетті атқару жөніндегі орталық уәкілетті орган жергілікті атқарушы органдарға:</w:t>
      </w:r>
    </w:p>
    <w:bookmarkEnd w:id="3"/>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p>
      <w:pPr>
        <w:spacing w:after="0"/>
        <w:ind w:left="0"/>
        <w:jc w:val="both"/>
      </w:pP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p>
      <w:pPr>
        <w:spacing w:after="0"/>
        <w:ind w:left="0"/>
        <w:jc w:val="both"/>
      </w:pPr>
      <w:r>
        <w:rPr>
          <w:rFonts w:ascii="Times New Roman"/>
          <w:b w:val="false"/>
          <w:i w:val="false"/>
          <w:color w:val="000000"/>
          <w:sz w:val="28"/>
        </w:rPr>
        <w:t>
      Бюджетті атқару жөніндегі орталық уәкілетті орган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470-тармақтың</w:t>
      </w:r>
      <w:r>
        <w:rPr>
          <w:rFonts w:ascii="Times New Roman"/>
          <w:b w:val="false"/>
          <w:i w:val="false"/>
          <w:color w:val="000000"/>
          <w:sz w:val="28"/>
        </w:rPr>
        <w:t xml:space="preserve"> екінші бөлігі мынадай редакцияда жазылсын:</w:t>
      </w:r>
    </w:p>
    <w:bookmarkStart w:name="z13" w:id="4"/>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заңында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472-тармақтың</w:t>
      </w:r>
      <w:r>
        <w:rPr>
          <w:rFonts w:ascii="Times New Roman"/>
          <w:b w:val="false"/>
          <w:i w:val="false"/>
          <w:color w:val="000000"/>
          <w:sz w:val="28"/>
        </w:rPr>
        <w:t xml:space="preserve"> екінші бөлігі мынадай редакцияда жазылсын:</w:t>
      </w:r>
    </w:p>
    <w:bookmarkStart w:name="z17" w:id="6"/>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475-тармақтың</w:t>
      </w:r>
      <w:r>
        <w:rPr>
          <w:rFonts w:ascii="Times New Roman"/>
          <w:b w:val="false"/>
          <w:i w:val="false"/>
          <w:color w:val="000000"/>
          <w:sz w:val="28"/>
        </w:rPr>
        <w:t xml:space="preserve"> бірінші бөлігінің 8) тармақшасы мынадай редакцияда жазылсын:</w:t>
      </w:r>
    </w:p>
    <w:bookmarkStart w:name="z19" w:id="7"/>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"477. Сайлауды, республикалық референдумды қаржыландыру шотынан және әкімдерді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p>
    <w:bookmarkEnd w:id="8"/>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"480.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Бюджет кодексіне сәйкес жүзеге асырылады.".</w:t>
      </w:r>
    </w:p>
    <w:bookmarkEnd w:id="9"/>
    <w:bookmarkStart w:name="z24" w:id="1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0"/>
    <w:bookmarkStart w:name="z25" w:id="11"/>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1"/>
    <w:bookmarkStart w:name="z26"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28"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