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a7548" w14:textId="6da75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"Банктердің, Қазақстан Республикасының бейрезидент-банктері филиалдарының және банк операцияларының жекелеген түрлерін жүзеге асыратын ұйымдардың ақпараттық қауіпсіздігін қамтамасыз етуге қойылатын талаптарды, Ақпараттық жүйелердегі бұзушылықтар, іркілістер туралы мәліметтерді қоса алғанда, ақпараттық қауіпсіздіктің оқыс оқиғалары туралы ақпаратты беру қағидалары мен мерзімдерін бекіту туралы" Қазақстан Республикасы Ұлттық Банкі Басқармасының 2018 жылғы 27 наурыздағы № 48 қаулысына толықтыру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2023 жылғы 17 қазандағы № 75 қаулысы. Қазақстан Республикасының Әділет министрлігінде 2023 жылғы 20 қазанда № 33560 болып тіркелді</w:t>
      </w:r>
    </w:p>
    <w:p>
      <w:pPr>
        <w:spacing w:after="0"/>
        <w:ind w:left="0"/>
        <w:jc w:val="both"/>
      </w:pPr>
      <w:bookmarkStart w:name="z1" w:id="0"/>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"Банктердің, Қазақстан Республикасының бейрезидент-банктері филиалдарының және банк операцияларының жекелеген түрлерін жүзеге асыратын ұйымдардың ақпараттық қауіпсіздігін қамтамасыз етуге қойылатын талаптарды, Ақпараттық жүйелердегі бұзушылықтар, іркілістер туралы мәліметтерді қоса алғанда, ақпараттық қауіпсіздіктің оқыс оқиғалары туралы ақпаратты беру қағидалары мен мерзімдерін бекіту туралы" Қазақстан Республикасы Ұлттық Банкі Басқармасының 2018 жылғы 27 наурыздағы № 48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16772 болып тіркелген) мынадай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Банктердің, Қазақстан Республикасының бейрезидент-банктері филиалдарының және банк операцияларының жекелеген түрлерін жүзеге асыратын ұйымдардың ақпараттық қауіпсіздігін қамтамасыз етуге қойылатын </w:t>
      </w:r>
      <w:r>
        <w:rPr>
          <w:rFonts w:ascii="Times New Roman"/>
          <w:b w:val="false"/>
          <w:i w:val="false"/>
          <w:color w:val="000000"/>
          <w:sz w:val="28"/>
        </w:rPr>
        <w:t>талаптарда</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мынадай мазмұндағы 10-тараумен толықтырылсын: </w:t>
      </w:r>
    </w:p>
    <w:bookmarkEnd w:id="1"/>
    <w:bookmarkStart w:name="z5" w:id="2"/>
    <w:p>
      <w:pPr>
        <w:spacing w:after="0"/>
        <w:ind w:left="0"/>
        <w:jc w:val="both"/>
      </w:pPr>
      <w:r>
        <w:rPr>
          <w:rFonts w:ascii="Times New Roman"/>
          <w:b w:val="false"/>
          <w:i w:val="false"/>
          <w:color w:val="000000"/>
          <w:sz w:val="28"/>
        </w:rPr>
        <w:t>
      "10-тарау. Банктің, ұйымның қашықтан қызмет көрсету бағдарламалық қамтылымының қауіпсіздігіне қойылатын талаптар</w:t>
      </w:r>
    </w:p>
    <w:bookmarkEnd w:id="2"/>
    <w:p>
      <w:pPr>
        <w:spacing w:after="0"/>
        <w:ind w:left="0"/>
        <w:jc w:val="both"/>
      </w:pPr>
      <w:r>
        <w:rPr>
          <w:rFonts w:ascii="Times New Roman"/>
          <w:b w:val="false"/>
          <w:i w:val="false"/>
          <w:color w:val="000000"/>
          <w:sz w:val="28"/>
        </w:rPr>
        <w:t>
      144. Банктің, ұйымның қашықтан қызмет көрсету бағдарламалық қамтылымына:</w:t>
      </w:r>
    </w:p>
    <w:p>
      <w:pPr>
        <w:spacing w:after="0"/>
        <w:ind w:left="0"/>
        <w:jc w:val="both"/>
      </w:pPr>
      <w:r>
        <w:rPr>
          <w:rFonts w:ascii="Times New Roman"/>
          <w:b w:val="false"/>
          <w:i w:val="false"/>
          <w:color w:val="000000"/>
          <w:sz w:val="28"/>
        </w:rPr>
        <w:t>
      1) веб-қосымшалар серверлерінің бағдарламалық қамтылымы (бұдан әрі – веб-қосымша);</w:t>
      </w:r>
    </w:p>
    <w:p>
      <w:pPr>
        <w:spacing w:after="0"/>
        <w:ind w:left="0"/>
        <w:jc w:val="both"/>
      </w:pPr>
      <w:r>
        <w:rPr>
          <w:rFonts w:ascii="Times New Roman"/>
          <w:b w:val="false"/>
          <w:i w:val="false"/>
          <w:color w:val="000000"/>
          <w:sz w:val="28"/>
        </w:rPr>
        <w:t>
      2) мобильді құрылғыларға арналған бағдарламалық қамтылым (бұдан әрі – мобильді қосымша);</w:t>
      </w:r>
    </w:p>
    <w:p>
      <w:pPr>
        <w:spacing w:after="0"/>
        <w:ind w:left="0"/>
        <w:jc w:val="both"/>
      </w:pPr>
      <w:r>
        <w:rPr>
          <w:rFonts w:ascii="Times New Roman"/>
          <w:b w:val="false"/>
          <w:i w:val="false"/>
          <w:color w:val="000000"/>
          <w:sz w:val="28"/>
        </w:rPr>
        <w:t>
      3) бағдарламалық интерфейстердің бағдарламалық қамтылымы (бұдан әрі – серверлік ҚБҚ) кіреді.</w:t>
      </w:r>
    </w:p>
    <w:p>
      <w:pPr>
        <w:spacing w:after="0"/>
        <w:ind w:left="0"/>
        <w:jc w:val="both"/>
      </w:pPr>
      <w:r>
        <w:rPr>
          <w:rFonts w:ascii="Times New Roman"/>
          <w:b w:val="false"/>
          <w:i w:val="false"/>
          <w:color w:val="000000"/>
          <w:sz w:val="28"/>
        </w:rPr>
        <w:t>
      145. Қашықтан қызмет көрсету бағдарламалық қамтылымын әзірлеу және (немесе) пысықтауды банк, ұйым бағдарламалық қамтылымды әзірлеу және (немесе) пысықтау тәртібін, әзірлеу кезеңдерін және олардың қатысушыларын регламенттейтін банктің, ұйымның ішкі құжаттарына сәйкес жүзеге асырады.</w:t>
      </w:r>
    </w:p>
    <w:p>
      <w:pPr>
        <w:spacing w:after="0"/>
        <w:ind w:left="0"/>
        <w:jc w:val="both"/>
      </w:pPr>
      <w:r>
        <w:rPr>
          <w:rFonts w:ascii="Times New Roman"/>
          <w:b w:val="false"/>
          <w:i w:val="false"/>
          <w:color w:val="000000"/>
          <w:sz w:val="28"/>
        </w:rPr>
        <w:t>
      146. Банктің, ұйымның қашықтан қызмет көрсету бағдарламалық қамтылымын әзірлеу және (немесе) пысықтау тысқары ұйымға және (немесе) үшінші тұлғаға берілген жағдайда, банк, ұйым тысқары ұйымның және (немесе) үшінші тұлғаның осы тараудың және ішкі құжаттардың талаптарын орындауын қамтамасыз етеді, қашықтан қызмет көрсету бағдарламалық қамтылымның қауіпсіздігі жағдайы үшін жауап береді.</w:t>
      </w:r>
    </w:p>
    <w:p>
      <w:pPr>
        <w:spacing w:after="0"/>
        <w:ind w:left="0"/>
        <w:jc w:val="both"/>
      </w:pPr>
      <w:r>
        <w:rPr>
          <w:rFonts w:ascii="Times New Roman"/>
          <w:b w:val="false"/>
          <w:i w:val="false"/>
          <w:color w:val="000000"/>
          <w:sz w:val="28"/>
        </w:rPr>
        <w:t>
      147. Банкте, ұйымда әзірленетін қашықтан қызмет көрсету бағдарламалық қамтылымның бастапқы кодтарын сақтау резервтік көшірме жасауды қамтамасыз ете отырып, банктің, ұйымның аясында орналастырылатын мамандандырылған код репозиторияларын басқару жүйесінде жүзеге асырылады.</w:t>
      </w:r>
    </w:p>
    <w:p>
      <w:pPr>
        <w:spacing w:after="0"/>
        <w:ind w:left="0"/>
        <w:jc w:val="both"/>
      </w:pPr>
      <w:r>
        <w:rPr>
          <w:rFonts w:ascii="Times New Roman"/>
          <w:b w:val="false"/>
          <w:i w:val="false"/>
          <w:color w:val="000000"/>
          <w:sz w:val="28"/>
        </w:rPr>
        <w:t>
      148. Банкте, ұйымда қабылданған қашықтан қызмет көрсету бағдарламалық қамтылымды әзірлеу және (немесе) пысықтау тәсіліне қарамастан, қауіпсіздікті тестілеу міндетті кезең болып табылады, оның барысында кемінде мынадай іс-шаралар жүзеге асырылады:</w:t>
      </w:r>
    </w:p>
    <w:p>
      <w:pPr>
        <w:spacing w:after="0"/>
        <w:ind w:left="0"/>
        <w:jc w:val="both"/>
      </w:pPr>
      <w:r>
        <w:rPr>
          <w:rFonts w:ascii="Times New Roman"/>
          <w:b w:val="false"/>
          <w:i w:val="false"/>
          <w:color w:val="000000"/>
          <w:sz w:val="28"/>
        </w:rPr>
        <w:t>
      1) бастапқы кодтың статикалық талдауы;</w:t>
      </w:r>
    </w:p>
    <w:p>
      <w:pPr>
        <w:spacing w:after="0"/>
        <w:ind w:left="0"/>
        <w:jc w:val="both"/>
      </w:pPr>
      <w:r>
        <w:rPr>
          <w:rFonts w:ascii="Times New Roman"/>
          <w:b w:val="false"/>
          <w:i w:val="false"/>
          <w:color w:val="000000"/>
          <w:sz w:val="28"/>
        </w:rPr>
        <w:t>
      2) құрауыштардың және тысқары кітапханалардың талдауы.</w:t>
      </w:r>
    </w:p>
    <w:p>
      <w:pPr>
        <w:spacing w:after="0"/>
        <w:ind w:left="0"/>
        <w:jc w:val="both"/>
      </w:pPr>
      <w:r>
        <w:rPr>
          <w:rFonts w:ascii="Times New Roman"/>
          <w:b w:val="false"/>
          <w:i w:val="false"/>
          <w:color w:val="000000"/>
          <w:sz w:val="28"/>
        </w:rPr>
        <w:t>
      149. Банктің, ұйымның қашықтан қызмет көрсету бағдарламалық қамтылымының бастапқы кодының статикалық талдауы тексерілетін бағдарламалық қамтылымда қолданылатын барлық бағдарламалау тілінің талдауын қолдайтын, бастапқы кодтың статикалық талдауының сканерін пайдаланумен жүргізіледі, оның функцияларына мынадай осалдықтарды анықтау кіреді, бірақ олармен шектелмейді:</w:t>
      </w:r>
    </w:p>
    <w:p>
      <w:pPr>
        <w:spacing w:after="0"/>
        <w:ind w:left="0"/>
        <w:jc w:val="both"/>
      </w:pPr>
      <w:r>
        <w:rPr>
          <w:rFonts w:ascii="Times New Roman"/>
          <w:b w:val="false"/>
          <w:i w:val="false"/>
          <w:color w:val="000000"/>
          <w:sz w:val="28"/>
        </w:rPr>
        <w:t>
      1) зиянды кодтың кіруіне мүмкіндік беретін тетіктердің болуы;</w:t>
      </w:r>
    </w:p>
    <w:p>
      <w:pPr>
        <w:spacing w:after="0"/>
        <w:ind w:left="0"/>
        <w:jc w:val="both"/>
      </w:pPr>
      <w:r>
        <w:rPr>
          <w:rFonts w:ascii="Times New Roman"/>
          <w:b w:val="false"/>
          <w:i w:val="false"/>
          <w:color w:val="000000"/>
          <w:sz w:val="28"/>
        </w:rPr>
        <w:t>
      2) осал операторларды және бағдарламалау тілдерінің функцияларын пайдалану;</w:t>
      </w:r>
    </w:p>
    <w:p>
      <w:pPr>
        <w:spacing w:after="0"/>
        <w:ind w:left="0"/>
        <w:jc w:val="both"/>
      </w:pPr>
      <w:r>
        <w:rPr>
          <w:rFonts w:ascii="Times New Roman"/>
          <w:b w:val="false"/>
          <w:i w:val="false"/>
          <w:color w:val="000000"/>
          <w:sz w:val="28"/>
        </w:rPr>
        <w:t>
      3) әлсіз және осал криптографиялық алгоритмдерді қолдану;</w:t>
      </w:r>
    </w:p>
    <w:p>
      <w:pPr>
        <w:spacing w:after="0"/>
        <w:ind w:left="0"/>
        <w:jc w:val="both"/>
      </w:pPr>
      <w:r>
        <w:rPr>
          <w:rFonts w:ascii="Times New Roman"/>
          <w:b w:val="false"/>
          <w:i w:val="false"/>
          <w:color w:val="000000"/>
          <w:sz w:val="28"/>
        </w:rPr>
        <w:t>
      4) белгілі бір жағдайларда қызмет көрсетуден бас тартуды немесе қосымшаның жұмысын айтарлықтай баяулатуды тудыратын кодты пайдалану;</w:t>
      </w:r>
    </w:p>
    <w:p>
      <w:pPr>
        <w:spacing w:after="0"/>
        <w:ind w:left="0"/>
        <w:jc w:val="both"/>
      </w:pPr>
      <w:r>
        <w:rPr>
          <w:rFonts w:ascii="Times New Roman"/>
          <w:b w:val="false"/>
          <w:i w:val="false"/>
          <w:color w:val="000000"/>
          <w:sz w:val="28"/>
        </w:rPr>
        <w:t>
      5) қосымшаны қорғау жүйелерін айналып өту тетіктерінің болуы;</w:t>
      </w:r>
    </w:p>
    <w:p>
      <w:pPr>
        <w:spacing w:after="0"/>
        <w:ind w:left="0"/>
        <w:jc w:val="both"/>
      </w:pPr>
      <w:r>
        <w:rPr>
          <w:rFonts w:ascii="Times New Roman"/>
          <w:b w:val="false"/>
          <w:i w:val="false"/>
          <w:color w:val="000000"/>
          <w:sz w:val="28"/>
        </w:rPr>
        <w:t>
      6) кодта құпияларды ашық түрде пайдалану;</w:t>
      </w:r>
    </w:p>
    <w:p>
      <w:pPr>
        <w:spacing w:after="0"/>
        <w:ind w:left="0"/>
        <w:jc w:val="both"/>
      </w:pPr>
      <w:r>
        <w:rPr>
          <w:rFonts w:ascii="Times New Roman"/>
          <w:b w:val="false"/>
          <w:i w:val="false"/>
          <w:color w:val="000000"/>
          <w:sz w:val="28"/>
        </w:rPr>
        <w:t>
      7) қосымшаның қауіпсіздігін қамтамасыз ету үлгілері мен тәжірибелерін бұзу.</w:t>
      </w:r>
    </w:p>
    <w:p>
      <w:pPr>
        <w:spacing w:after="0"/>
        <w:ind w:left="0"/>
        <w:jc w:val="both"/>
      </w:pPr>
      <w:r>
        <w:rPr>
          <w:rFonts w:ascii="Times New Roman"/>
          <w:b w:val="false"/>
          <w:i w:val="false"/>
          <w:color w:val="000000"/>
          <w:sz w:val="28"/>
        </w:rPr>
        <w:t>
      150. Банктің, ұйымның қашықтан қызмет көрсету бағдарламалық қамтылымының құрауыштарын және (немесе) тысқары кітапханаларын талдау құрауыштың және (немесе) тысқары кітапхананың қолданылатын нұсқасына тән белгілі осалдықтарды анықтау мақсатында, сондай-ақ құрауыштар және (немесе) тысқары кітапханалар және олардың нұсқалары арасындағы тәуелділіктерді бақылау үшін жүргізіледі.3.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p>
      <w:pPr>
        <w:spacing w:after="0"/>
        <w:ind w:left="0"/>
        <w:jc w:val="both"/>
      </w:pPr>
      <w:r>
        <w:rPr>
          <w:rFonts w:ascii="Times New Roman"/>
          <w:b w:val="false"/>
          <w:i w:val="false"/>
          <w:color w:val="000000"/>
          <w:sz w:val="28"/>
        </w:rPr>
        <w:t>
      151. Банк, ұйым атқарушы орган бекіткен ішкі құжатта айқындалған тәртіпте анықталған осалдықтарды жою жөнінде түзету шараларының іске асырылуын қамтамасыз етеді. Бұл ретте, маңызды осалдықтар қашықтан қызмет көрсету бағдарламалық қамтылымды және (немесе) оның жаңа нұсқаларын пайдалануға енгізуге дейін жойылады.</w:t>
      </w:r>
    </w:p>
    <w:p>
      <w:pPr>
        <w:spacing w:after="0"/>
        <w:ind w:left="0"/>
        <w:jc w:val="both"/>
      </w:pPr>
      <w:r>
        <w:rPr>
          <w:rFonts w:ascii="Times New Roman"/>
          <w:b w:val="false"/>
          <w:i w:val="false"/>
          <w:color w:val="000000"/>
          <w:sz w:val="28"/>
        </w:rPr>
        <w:t>
      152. Банк, ұйым ақпараттық қауіпсіздік бөлімшесімен келісілгеннен кейін қашықтан қызмет көрсету бағдарламалық қамтылымын және (немесе) оның жаңа нұсқаларын пайдалануға енгізуді жүзеге асырады.</w:t>
      </w:r>
    </w:p>
    <w:p>
      <w:pPr>
        <w:spacing w:after="0"/>
        <w:ind w:left="0"/>
        <w:jc w:val="both"/>
      </w:pPr>
      <w:r>
        <w:rPr>
          <w:rFonts w:ascii="Times New Roman"/>
          <w:b w:val="false"/>
          <w:i w:val="false"/>
          <w:color w:val="000000"/>
          <w:sz w:val="28"/>
        </w:rPr>
        <w:t>
      153. Банк, ұйым қашықтан қызмет көрсету бағдарламалық қамтылымының бастапқы кодтарының және соңғы 3 (үш) жыл ішінде пайдалануға енгізілген қауіпсіздікті тестілеу нәтижелерінің барлық нұсқаларын жедел режимде сақтауды және оларға қол жеткізуді қамтамасыз етеді.</w:t>
      </w:r>
    </w:p>
    <w:p>
      <w:pPr>
        <w:spacing w:after="0"/>
        <w:ind w:left="0"/>
        <w:jc w:val="both"/>
      </w:pPr>
      <w:r>
        <w:rPr>
          <w:rFonts w:ascii="Times New Roman"/>
          <w:b w:val="false"/>
          <w:i w:val="false"/>
          <w:color w:val="000000"/>
          <w:sz w:val="28"/>
        </w:rPr>
        <w:t>
      154. Қашықтан қызмет көрсету бағдарламалық қамтылымының клиенттік және серверлік тараптары арасында деректер алмасу Transport Layer Security (Транспорт Лейер Секьюрити) шифрлау хаттамасының 1.2-ден төмен емес нұсқасын пайдалана отырып шифрланады.</w:t>
      </w:r>
    </w:p>
    <w:p>
      <w:pPr>
        <w:spacing w:after="0"/>
        <w:ind w:left="0"/>
        <w:jc w:val="both"/>
      </w:pPr>
      <w:r>
        <w:rPr>
          <w:rFonts w:ascii="Times New Roman"/>
          <w:b w:val="false"/>
          <w:i w:val="false"/>
          <w:color w:val="000000"/>
          <w:sz w:val="28"/>
        </w:rPr>
        <w:t>
      155. Банктің, ұйымның мобильді қосымшасында клиентті бастапқы тіркеу кезінде Сәйкестендіру деректерімен алмасу орталығы (бұдан әрі – СДАО) арқылы немесе банктің, ұйымның құрылғылары арқылы алынған биометриялық деректерді пайдалана отырып, клиентті биометриялық сәйкестендіруді жүзеге асырады.</w:t>
      </w:r>
    </w:p>
    <w:p>
      <w:pPr>
        <w:spacing w:after="0"/>
        <w:ind w:left="0"/>
        <w:jc w:val="both"/>
      </w:pPr>
      <w:r>
        <w:rPr>
          <w:rFonts w:ascii="Times New Roman"/>
          <w:b w:val="false"/>
          <w:i w:val="false"/>
          <w:color w:val="000000"/>
          <w:sz w:val="28"/>
        </w:rPr>
        <w:t>
      156. Мобильді қосымшаға кіру кодын (құпиясөзін) өзгерту СДАО растаған немесе банктің, ұйымның құрылғылары арқылы алынған биометриялық деректерді пайдалана отырып, клиентті биометриялық сәйкестендіруді қолданумен жүзеге асырылады.</w:t>
      </w:r>
    </w:p>
    <w:p>
      <w:pPr>
        <w:spacing w:after="0"/>
        <w:ind w:left="0"/>
        <w:jc w:val="both"/>
      </w:pPr>
      <w:r>
        <w:rPr>
          <w:rFonts w:ascii="Times New Roman"/>
          <w:b w:val="false"/>
          <w:i w:val="false"/>
          <w:color w:val="000000"/>
          <w:sz w:val="28"/>
        </w:rPr>
        <w:t>
      157. Қашықтан қызмет көрсету бағдарламалық қамтылымда клиентті сәйкестендіру және бірдейлендіру банктің, ұйымның ішкі құжаттарында белгіленген қауіпсіздік рәсімдеріне сәйкес екі факторлы (үш фактордың екеуін қолдану: білім, иелену, ажырамастық) бірдейлендіру әдістерін қолдана отырып жүзеге асырылады.</w:t>
      </w:r>
    </w:p>
    <w:p>
      <w:pPr>
        <w:spacing w:after="0"/>
        <w:ind w:left="0"/>
        <w:jc w:val="both"/>
      </w:pPr>
      <w:r>
        <w:rPr>
          <w:rFonts w:ascii="Times New Roman"/>
          <w:b w:val="false"/>
          <w:i w:val="false"/>
          <w:color w:val="000000"/>
          <w:sz w:val="28"/>
        </w:rPr>
        <w:t>
      158. Қашықтан қызмет көрсету бағдарламалық қамтылымды кроссдомендік бірдейлендіру тетігі ақпараттық қауіпсіздік жөніндегі бөлімшемен келісіледі.</w:t>
      </w:r>
    </w:p>
    <w:p>
      <w:pPr>
        <w:spacing w:after="0"/>
        <w:ind w:left="0"/>
        <w:jc w:val="both"/>
      </w:pPr>
      <w:r>
        <w:rPr>
          <w:rFonts w:ascii="Times New Roman"/>
          <w:b w:val="false"/>
          <w:i w:val="false"/>
          <w:color w:val="000000"/>
          <w:sz w:val="28"/>
        </w:rPr>
        <w:t>
      159. Веб-қосымша:</w:t>
      </w:r>
    </w:p>
    <w:p>
      <w:pPr>
        <w:spacing w:after="0"/>
        <w:ind w:left="0"/>
        <w:jc w:val="both"/>
      </w:pPr>
      <w:r>
        <w:rPr>
          <w:rFonts w:ascii="Times New Roman"/>
          <w:b w:val="false"/>
          <w:i w:val="false"/>
          <w:color w:val="000000"/>
          <w:sz w:val="28"/>
        </w:rPr>
        <w:t>
      1) веб-қосымшаның тек қана банкке, ұйымға тиесілігін сәйкестендіруді (домендік аты, логотиптері, корпоративтік түстері);</w:t>
      </w:r>
    </w:p>
    <w:p>
      <w:pPr>
        <w:spacing w:after="0"/>
        <w:ind w:left="0"/>
        <w:jc w:val="both"/>
      </w:pPr>
      <w:r>
        <w:rPr>
          <w:rFonts w:ascii="Times New Roman"/>
          <w:b w:val="false"/>
          <w:i w:val="false"/>
          <w:color w:val="000000"/>
          <w:sz w:val="28"/>
        </w:rPr>
        <w:t>
      2) браузердің жадысында авторландырылған деректерді сақтауға тыйым салуды;</w:t>
      </w:r>
    </w:p>
    <w:p>
      <w:pPr>
        <w:spacing w:after="0"/>
        <w:ind w:left="0"/>
        <w:jc w:val="both"/>
      </w:pPr>
      <w:r>
        <w:rPr>
          <w:rFonts w:ascii="Times New Roman"/>
          <w:b w:val="false"/>
          <w:i w:val="false"/>
          <w:color w:val="000000"/>
          <w:sz w:val="28"/>
        </w:rPr>
        <w:t>
      3) енгізілген құпияларды бүркемелеуді;</w:t>
      </w:r>
    </w:p>
    <w:p>
      <w:pPr>
        <w:spacing w:after="0"/>
        <w:ind w:left="0"/>
        <w:jc w:val="both"/>
      </w:pPr>
      <w:r>
        <w:rPr>
          <w:rFonts w:ascii="Times New Roman"/>
          <w:b w:val="false"/>
          <w:i w:val="false"/>
          <w:color w:val="000000"/>
          <w:sz w:val="28"/>
        </w:rPr>
        <w:t>
      4) клиентті авторландыру парақшасында веб-қосымшаны пайдалану кезінде басшылыққа алу ұсынылатын кибергигиенаны қамтамасыз ету шаралары туралы хабардар етуді;</w:t>
      </w:r>
    </w:p>
    <w:p>
      <w:pPr>
        <w:spacing w:after="0"/>
        <w:ind w:left="0"/>
        <w:jc w:val="both"/>
      </w:pPr>
      <w:r>
        <w:rPr>
          <w:rFonts w:ascii="Times New Roman"/>
          <w:b w:val="false"/>
          <w:i w:val="false"/>
          <w:color w:val="000000"/>
          <w:sz w:val="28"/>
        </w:rPr>
        <w:t>
      5) қате туралы ең аз қажетті ақпарат бере отырып, клиенттің интерфейсінде конфиденциалды деректердің көрсетілуіне жол бермей қателер мен ерекшеліктерді қауіпсіз тәсілмен өңдеуді қамтамасыз етеді.</w:t>
      </w:r>
    </w:p>
    <w:p>
      <w:pPr>
        <w:spacing w:after="0"/>
        <w:ind w:left="0"/>
        <w:jc w:val="both"/>
      </w:pPr>
      <w:r>
        <w:rPr>
          <w:rFonts w:ascii="Times New Roman"/>
          <w:b w:val="false"/>
          <w:i w:val="false"/>
          <w:color w:val="000000"/>
          <w:sz w:val="28"/>
        </w:rPr>
        <w:t>
      160. Мобильді қосымша:</w:t>
      </w:r>
    </w:p>
    <w:p>
      <w:pPr>
        <w:spacing w:after="0"/>
        <w:ind w:left="0"/>
        <w:jc w:val="both"/>
      </w:pPr>
      <w:r>
        <w:rPr>
          <w:rFonts w:ascii="Times New Roman"/>
          <w:b w:val="false"/>
          <w:i w:val="false"/>
          <w:color w:val="000000"/>
          <w:sz w:val="28"/>
        </w:rPr>
        <w:t>
      1) мобильді қосымшаның тек қана банкке, ұйымға тиесілігін сәйкестендіруді (қосымшалардың ресми дүкеніндегі деректер, логотиптер, корпоративтік түстер);</w:t>
      </w:r>
    </w:p>
    <w:p>
      <w:pPr>
        <w:spacing w:after="0"/>
        <w:ind w:left="0"/>
        <w:jc w:val="both"/>
      </w:pPr>
      <w:r>
        <w:rPr>
          <w:rFonts w:ascii="Times New Roman"/>
          <w:b w:val="false"/>
          <w:i w:val="false"/>
          <w:color w:val="000000"/>
          <w:sz w:val="28"/>
        </w:rPr>
        <w:t>
      2) операциялық жүйенің тұтастығын бұзу және (немесе) қорғау тетіктерін айналып өту белгілерін анықтаған, қашықтан басқару процестерін анықтаған жағдайда банктің, ұйымның қашықтан қызмет көрсету бойынша функционалын бұғаттауды;</w:t>
      </w:r>
    </w:p>
    <w:p>
      <w:pPr>
        <w:spacing w:after="0"/>
        <w:ind w:left="0"/>
        <w:jc w:val="both"/>
      </w:pPr>
      <w:r>
        <w:rPr>
          <w:rFonts w:ascii="Times New Roman"/>
          <w:b w:val="false"/>
          <w:i w:val="false"/>
          <w:color w:val="000000"/>
          <w:sz w:val="28"/>
        </w:rPr>
        <w:t>
      3) клиентті мобильді қосымшаның жаңартуларының бар екендігі туралы хабардар етуді;</w:t>
      </w:r>
    </w:p>
    <w:p>
      <w:pPr>
        <w:spacing w:after="0"/>
        <w:ind w:left="0"/>
        <w:jc w:val="both"/>
      </w:pPr>
      <w:r>
        <w:rPr>
          <w:rFonts w:ascii="Times New Roman"/>
          <w:b w:val="false"/>
          <w:i w:val="false"/>
          <w:color w:val="000000"/>
          <w:sz w:val="28"/>
        </w:rPr>
        <w:t>
      4) маңызды осалдықтарды жою қажет болған жағдайда, мобильді қосымшаның жаңартуларын мәжбүрлеп орнату немесе оларды орнатқанға дейін мобильді қосымшаның функционалын бұғаттау мүмкіндігін;</w:t>
      </w:r>
    </w:p>
    <w:p>
      <w:pPr>
        <w:spacing w:after="0"/>
        <w:ind w:left="0"/>
        <w:jc w:val="both"/>
      </w:pPr>
      <w:r>
        <w:rPr>
          <w:rFonts w:ascii="Times New Roman"/>
          <w:b w:val="false"/>
          <w:i w:val="false"/>
          <w:color w:val="000000"/>
          <w:sz w:val="28"/>
        </w:rPr>
        <w:t>
      5) конфиденциалды деректерді мобильді қосымшаның қорғалған контейнерінде немесе жүйелік есепктік деректерді сақтау орнында сақтауды;</w:t>
      </w:r>
    </w:p>
    <w:p>
      <w:pPr>
        <w:spacing w:after="0"/>
        <w:ind w:left="0"/>
        <w:jc w:val="both"/>
      </w:pPr>
      <w:r>
        <w:rPr>
          <w:rFonts w:ascii="Times New Roman"/>
          <w:b w:val="false"/>
          <w:i w:val="false"/>
          <w:color w:val="000000"/>
          <w:sz w:val="28"/>
        </w:rPr>
        <w:t>
      6) конфиденциалды деректерді кэштеуді алып тастауды;</w:t>
      </w:r>
    </w:p>
    <w:p>
      <w:pPr>
        <w:spacing w:after="0"/>
        <w:ind w:left="0"/>
        <w:jc w:val="both"/>
      </w:pPr>
      <w:r>
        <w:rPr>
          <w:rFonts w:ascii="Times New Roman"/>
          <w:b w:val="false"/>
          <w:i w:val="false"/>
          <w:color w:val="000000"/>
          <w:sz w:val="28"/>
        </w:rPr>
        <w:t>
      7) мобильді қосымшаның резервтік көшірмелерінен ашық түрдегі конфиденциалды деректерді алып тастауды;</w:t>
      </w:r>
    </w:p>
    <w:p>
      <w:pPr>
        <w:spacing w:after="0"/>
        <w:ind w:left="0"/>
        <w:jc w:val="both"/>
      </w:pPr>
      <w:r>
        <w:rPr>
          <w:rFonts w:ascii="Times New Roman"/>
          <w:b w:val="false"/>
          <w:i w:val="false"/>
          <w:color w:val="000000"/>
          <w:sz w:val="28"/>
        </w:rPr>
        <w:t>
      8) клиентті мобильді қосымшаны пайдалану кезінде басшылыққа алу ұсынылатын кибергигиенаны қамтамасыз етудің әдістері туралы хабардар етуді;</w:t>
      </w:r>
    </w:p>
    <w:p>
      <w:pPr>
        <w:spacing w:after="0"/>
        <w:ind w:left="0"/>
        <w:jc w:val="both"/>
      </w:pPr>
      <w:r>
        <w:rPr>
          <w:rFonts w:ascii="Times New Roman"/>
          <w:b w:val="false"/>
          <w:i w:val="false"/>
          <w:color w:val="000000"/>
          <w:sz w:val="28"/>
        </w:rPr>
        <w:t>
      9) клиентті оның есептік жазбасындағы авторландыру оқиғалары, құпиясөзді өзгерту және (немесе) қалпына келтіру, банк, ұйым тіркеген мобильді телефон нөмірінің өзгеруі туралы хабардар етуді;</w:t>
      </w:r>
    </w:p>
    <w:p>
      <w:pPr>
        <w:spacing w:after="0"/>
        <w:ind w:left="0"/>
        <w:jc w:val="both"/>
      </w:pPr>
      <w:r>
        <w:rPr>
          <w:rFonts w:ascii="Times New Roman"/>
          <w:b w:val="false"/>
          <w:i w:val="false"/>
          <w:color w:val="000000"/>
          <w:sz w:val="28"/>
        </w:rPr>
        <w:t>
      10) ақшалай қаражатпен операцияларды жүзеге асыру барысында -клиенттің рұқсаты болған жағдайда банктің, ұйымның серверлік ҚБҚ-ға мобильді құрылғының геолокациялық деректерін беру не мұндай рұқсаттың жоқ екендігі туралы ақпарат беруді қамтамасыз етеді.</w:t>
      </w:r>
    </w:p>
    <w:p>
      <w:pPr>
        <w:spacing w:after="0"/>
        <w:ind w:left="0"/>
        <w:jc w:val="both"/>
      </w:pPr>
      <w:r>
        <w:rPr>
          <w:rFonts w:ascii="Times New Roman"/>
          <w:b w:val="false"/>
          <w:i w:val="false"/>
          <w:color w:val="000000"/>
          <w:sz w:val="28"/>
        </w:rPr>
        <w:t>
      161. Банк, ұйым өз тарапынан:</w:t>
      </w:r>
    </w:p>
    <w:p>
      <w:pPr>
        <w:spacing w:after="0"/>
        <w:ind w:left="0"/>
        <w:jc w:val="both"/>
      </w:pPr>
      <w:r>
        <w:rPr>
          <w:rFonts w:ascii="Times New Roman"/>
          <w:b w:val="false"/>
          <w:i w:val="false"/>
          <w:color w:val="000000"/>
          <w:sz w:val="28"/>
        </w:rPr>
        <w:t>
      1) жауапта конфиденциалды деректердің жария болуына жол бермей, проблеманы анықтау үшін ең аз қажетті ақпарат ұсына отырып, қателер мен ерекшеліктерді қауіпсіз тәсілмен өңдеуді;</w:t>
      </w:r>
    </w:p>
    <w:p>
      <w:pPr>
        <w:spacing w:after="0"/>
        <w:ind w:left="0"/>
        <w:jc w:val="both"/>
      </w:pPr>
      <w:r>
        <w:rPr>
          <w:rFonts w:ascii="Times New Roman"/>
          <w:b w:val="false"/>
          <w:i w:val="false"/>
          <w:color w:val="000000"/>
          <w:sz w:val="28"/>
        </w:rPr>
        <w:t>
      2) мобильді қосымшаларды және олармен байланысты құрылғыларды сәйкестендіруді және бірдейлендіруді;</w:t>
      </w:r>
    </w:p>
    <w:p>
      <w:pPr>
        <w:spacing w:after="0"/>
        <w:ind w:left="0"/>
        <w:jc w:val="both"/>
      </w:pPr>
      <w:r>
        <w:rPr>
          <w:rFonts w:ascii="Times New Roman"/>
          <w:b w:val="false"/>
          <w:i w:val="false"/>
          <w:color w:val="000000"/>
          <w:sz w:val="28"/>
        </w:rPr>
        <w:t>
      3) жалған сұрау салулармен және зиянды кодтың кірулерімен шабуылдардың алдын алу үшін деректердің жарамдылығын тексеруді қамтамасыз етеді.".</w:t>
      </w:r>
    </w:p>
    <w:bookmarkStart w:name="z6" w:id="3"/>
    <w:p>
      <w:pPr>
        <w:spacing w:after="0"/>
        <w:ind w:left="0"/>
        <w:jc w:val="both"/>
      </w:pPr>
      <w:r>
        <w:rPr>
          <w:rFonts w:ascii="Times New Roman"/>
          <w:b w:val="false"/>
          <w:i w:val="false"/>
          <w:color w:val="000000"/>
          <w:sz w:val="28"/>
        </w:rPr>
        <w:t>
      2. Ақпараттық және киберқауіпсіздік департаменті Қазақстан Республикасының заңнамасында белгіленген тәртіппен:</w:t>
      </w:r>
    </w:p>
    <w:bookmarkEnd w:id="3"/>
    <w:bookmarkStart w:name="z7" w:id="4"/>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4"/>
    <w:bookmarkStart w:name="z8" w:id="5"/>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Start w:name="z10" w:id="6"/>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