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4cc7" w14:textId="0644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3 қарашадағы № 377 және Қазақстан Республикасы Ұлттық экономика министрінің 2023 жылғы 3 қарашадағы № 174 бірлескен бұйрығы. Қазақстан Республикасының Әділет министрлігінде 2023 жылғы 7 қарашада № 33608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17871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тұқым шаруашылығы саласындағы тәуекелдер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Ауыл шаруашылығы министрлігі Егіншілік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4"/>
    <w:bookmarkStart w:name="z10"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Тұқым шаруашылығы саласындағы талаптардың бұзылу дәрежесі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 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25 пайызы тұқым шаруашылығы егістерінің болуы (жеміс, 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үшін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жүргізу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шығару әдісін, ата-аналық нысандар, сорттық белгілерінің ерекше сипаттамалары туралы мәліметтерді көрсететін сұрып жөніндегі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20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түсімділік (картоп және күнбағыс, жеміс-жидек дақылдарының, жаңғақ жемісті дақылдардың және жүзімнің көшеттерін өндірушілерге қолданылмайды) – орташа облыстық деңгейден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5-тен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 үшін ассортиментте және көлемде сұрыптардың бастапқы тұқымдық материалының (бірегей тұқымдардың)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 үшін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элиталық тұқым өндірісін ғылыми сүйемелдеуге арналған шарттың болуы (ғылыми қызметті жүзеге асыратын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 жемісті дақылдар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15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бірінші, екінші және үшінші репродукция тұқымы өндірісін ғылыми сүйемелдеуге арналған шарттың болуы (ғылыми қызметті жүзеге асыратын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сортты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 жемісті дақылдар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тазалау, сақтау және өткiзу жөнiндегi барлық жұмыстар кешенiн қамтамасыз етуге арналған меншiк, лизинг немесе мүлiктiк жалға алу не сенiмгерлiк басқару құқығындағы мамандандырылған техниканың болуы (тұқымдарды ыдысқа салынған (буып-түйiлген) күйде өткізетін тұқым шаруашылығы субъектілеріне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сорттарының мемлекеттік тізіліміне енгізілген ауыл шаруашылығы өсімдіктері сорттарының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сорттық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егістерін байқаудан өткізу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топырақтану және агрохимия, өсімдіктерді қорғау және карантин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(байқаудан өткізушілер курстары)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сараптау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өңдеу өнеркәсібінің технологиясы (ауыл шаруашылығы), стандарттау және сертификаттау (ауыл шаруашылығы)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және екпе материалын сараптау зертханасында жұмыс немесе тағылымдамадан өту туралы құжаттың болуы (кемінде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7"/>
    <w:p>
      <w:pPr>
        <w:spacing w:after="0"/>
        <w:ind w:left="0"/>
        <w:jc w:val="left"/>
      </w:pPr>
      <w:r>
        <w:rPr>
          <w:rFonts w:ascii="Times New Roman"/>
          <w:b/>
          <w:i w:val="false"/>
          <w:color w:val="000000"/>
        </w:rPr>
        <w:t xml:space="preserve"> Тұқым шаруашылығы саласындағы субъективті өлшемшарттар бойынша тәуекел дәрежесін айқындауға арналған субъективті өлшемшарттар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өндірушілерге қатысты Қазақстан Республикасы Кәсіпкерлік кодексінің 138-бабына сәйкес тұқым шаруашылығы саласындағы тәуекел дәрежесін айқындауға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w:t>
            </w:r>
          </w:p>
          <w:p>
            <w:pPr>
              <w:spacing w:after="20"/>
              <w:ind w:left="20"/>
              <w:jc w:val="both"/>
            </w:pPr>
            <w:r>
              <w:rPr>
                <w:rFonts w:ascii="Times New Roman"/>
                <w:b w:val="false"/>
                <w:i w:val="false"/>
                <w:color w:val="000000"/>
                <w:sz w:val="20"/>
              </w:rPr>
              <w:t>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Элиталық тұқым өсіру шаруашылығы өндірушілерге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өндірушілерге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тұтынушыларға (тұқымдарды сату құқығынсыз үй жанындағы, бау-бақ, саяжай және бақша учаскелерiнде пайдалану үшiн тұқым өндiрумен шұғылданатан жеке тұлғаларды қоспағанда)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зертханасына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2-қосымша</w:t>
            </w:r>
          </w:p>
        </w:tc>
      </w:tr>
    </w:tbl>
    <w:bookmarkStart w:name="z19" w:id="8"/>
    <w:p>
      <w:pPr>
        <w:spacing w:after="0"/>
        <w:ind w:left="0"/>
        <w:jc w:val="left"/>
      </w:pPr>
      <w:r>
        <w:rPr>
          <w:rFonts w:ascii="Times New Roman"/>
          <w:b/>
          <w:i w:val="false"/>
          <w:color w:val="000000"/>
        </w:rPr>
        <w:t xml:space="preserve"> Бірегей тұқым өндірушілерге арналған тұқым шаруашылығы саласындағы тексеру парағы</w:t>
      </w:r>
    </w:p>
    <w:bookmarkEnd w:id="8"/>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партияларының араласуына жол бермей оларды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бойы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3-қосымша</w:t>
            </w:r>
          </w:p>
        </w:tc>
      </w:tr>
    </w:tbl>
    <w:bookmarkStart w:name="z22" w:id="9"/>
    <w:p>
      <w:pPr>
        <w:spacing w:after="0"/>
        <w:ind w:left="0"/>
        <w:jc w:val="left"/>
      </w:pPr>
      <w:r>
        <w:rPr>
          <w:rFonts w:ascii="Times New Roman"/>
          <w:b/>
          <w:i w:val="false"/>
          <w:color w:val="000000"/>
        </w:rPr>
        <w:t xml:space="preserve"> Элиталық тұқым өсіру шаруашылықтарына арналған тұқым шаруашылығы саласындағы тексеру парағы</w:t>
      </w:r>
    </w:p>
    <w:bookmarkEnd w:id="9"/>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20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түсімділік (картоп және күнбағыс, жеміс-жидек дақылдарының, жаңғақ жемісті дақылдардың және жүзімнің көшеттерін өндірушілерге қолданылмайды) – орташа облыстық деңгейден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саны 5-тен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сорттардың бастапқы тұқымдық материалының (бірегей тұқымдардың)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элиталық тұқым өндірісін ғылыми сүйемелдеуге арналған шарттың болуы (ғылыми қызметті жүзеге асыратын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4-қосымша</w:t>
            </w:r>
          </w:p>
        </w:tc>
      </w:tr>
    </w:tbl>
    <w:bookmarkStart w:name="z25" w:id="10"/>
    <w:p>
      <w:pPr>
        <w:spacing w:after="0"/>
        <w:ind w:left="0"/>
        <w:jc w:val="left"/>
      </w:pPr>
      <w:r>
        <w:rPr>
          <w:rFonts w:ascii="Times New Roman"/>
          <w:b/>
          <w:i w:val="false"/>
          <w:color w:val="000000"/>
        </w:rPr>
        <w:t xml:space="preserve"> Тұқым өсіру шаруашылықтарына арналған тұқым шаруашылығы саласындағы тексеру парағы</w:t>
      </w:r>
    </w:p>
    <w:bookmarkEnd w:id="10"/>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кемінде 15 пайызы тұқым шаруашылығы егістерінің болуы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жұмысында тәжірибесі бар жеке немесе заңды тұлғамен бірінші, екінші және үшінші репродукция тұқымы өндірісін ғылыми сүйемелдеуге арналған шарттың болуы (ғылыми қызметті жүзеге асыратын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сортты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партияларының араласуына жол бермей оларды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дақылдарына, жаңғақ жемісті дақылдарға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5-қосымша</w:t>
            </w:r>
          </w:p>
        </w:tc>
      </w:tr>
    </w:tbl>
    <w:bookmarkStart w:name="z28" w:id="11"/>
    <w:p>
      <w:pPr>
        <w:spacing w:after="0"/>
        <w:ind w:left="0"/>
        <w:jc w:val="left"/>
      </w:pPr>
      <w:r>
        <w:rPr>
          <w:rFonts w:ascii="Times New Roman"/>
          <w:b/>
          <w:i w:val="false"/>
          <w:color w:val="000000"/>
        </w:rPr>
        <w:t xml:space="preserve"> Тұқым өткізушілерге арналған тұқым шаруашылығы саласындағы тексеру парағы</w:t>
      </w:r>
    </w:p>
    <w:bookmarkEnd w:id="11"/>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тазалау, сақтау және өткiзу жөнiндегi барлық жұмыстар кешенiн қамтамасыз етуге арналған меншiк немесе лизинг немесе мүлiктiк жалға алу не сенiмгерлiк басқару құқығындағы мамандандырылған техниканың болуы (тұқымдарды ыдысқа салынған (буып-түйiлген) күйде өткізетін тұқым шаруашылығы субъектілеріне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сұрыптарының мемлекеттік тізіліміне енгізілген ауыл шаруашылығы өсімдіктері сұрыптарының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xml:space="preserve">№ 174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2023 жылғы 3 қарашадағы </w:t>
            </w:r>
            <w:r>
              <w:br/>
            </w:r>
            <w:r>
              <w:rPr>
                <w:rFonts w:ascii="Times New Roman"/>
                <w:b w:val="false"/>
                <w:i w:val="false"/>
                <w:color w:val="000000"/>
                <w:sz w:val="20"/>
              </w:rPr>
              <w:t>№ 377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6-қосымша</w:t>
            </w:r>
          </w:p>
        </w:tc>
      </w:tr>
    </w:tbl>
    <w:bookmarkStart w:name="z31" w:id="12"/>
    <w:p>
      <w:pPr>
        <w:spacing w:after="0"/>
        <w:ind w:left="0"/>
        <w:jc w:val="left"/>
      </w:pPr>
      <w:r>
        <w:rPr>
          <w:rFonts w:ascii="Times New Roman"/>
          <w:b/>
          <w:i w:val="false"/>
          <w:color w:val="000000"/>
        </w:rPr>
        <w:t xml:space="preserve"> Тұқым сапасын сараптау зертханаларына арналған тұқым шаруашылығы саласындағы тексеру парағы</w:t>
      </w:r>
    </w:p>
    <w:bookmarkEnd w:id="12"/>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