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14f2" w14:textId="7e31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2023 жылғы 22 қарашадағы № 458-НҚ бұйрығы. Қазақстан Республикасының Әділет министрлігінде 2023 жылғы 24 қарашада № 33677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Күші жойылды деп тану:</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архив қорының құжаттарын және басқа да архивтік құжаттарды ведомстволық және жеке архивтердің қабылдау, сақтау, есепке алу мен пайдалану кезінде ресімделетін (жасалатын) құжаттар нысандарын бекіту туралы" Қазақстан Республикасы Мәдениет және спорт министрінің 2018 жылғы 4 желтоқсандағы № 343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тізлімінде № 17862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 бекіту туралы" Қазақстан Республикасы Мәдениет және спорт министрінің 2019 жылғы 12 наурыздағы № 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тізлімінде № 18392 болып тіркелген).</w:t>
      </w:r>
    </w:p>
    <w:bookmarkStart w:name="z5" w:id="1"/>
    <w:p>
      <w:pPr>
        <w:spacing w:after="0"/>
        <w:ind w:left="0"/>
        <w:jc w:val="both"/>
      </w:pPr>
      <w:r>
        <w:rPr>
          <w:rFonts w:ascii="Times New Roman"/>
          <w:b w:val="false"/>
          <w:i w:val="false"/>
          <w:color w:val="000000"/>
          <w:sz w:val="28"/>
        </w:rPr>
        <w:t>
      2. Қазақстан Республикасы Мәдениет және ақпарат министрілігінің Архив, құжаттама және кітап ісі комитеті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интернет-ресурсына орналастыруды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Мәдениет және ақпарат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