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6a9d" w14:textId="dbf6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бойынша коммуналдық қалдықтардың түзілу және жинақталу нормаларын, тұрмыстық қатты қалдықтарды жинауға, әкетуге, кәдеге жаратуға, қайта өңдеуге және көмуге арналған тарифтерді бекіту туралы" Мұғалжар аудандық мәслихатының 2019 жылғы 18 шілдедегі № 336 шешімінің күші жойылды деп тану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8 қыркүйектегі № 89 шешімі. Ақтөбе облысының Әділет департаментінде 2023 жылғы 12 қыркүйекте № 8396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ауданы бойынша коммуналдық қалдықтардың түзілу және жинақталу нормаларын, тұрмыстық қатты қалдықтарды жинауға, әкетуге, кәдеге жаратуға, қайта өңдеуге және көмуге арналған тарифтерді бекіту туралы" Мұғалжар аудандық мәслихатының 2019 жылғы 18 шілдедегі № 336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6296 болып тіркелген) күші жойылды деп танылсын.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