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95b1" w14:textId="0d09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2023 жылғы 21 сәуірдегі № 82 бірлескен қаулысы және Абай облысы мәслихатының 2023 жылғы 20 сәуірдегі № 2/13-VIII шешімі. Абай облысының Әділет департаментінде 2023 жылғы 27 сәуірде № 55-18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кодексiнiң 50-бабының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Абай облысының әкімдігі ҚАУЛЫ ЕТЕДІ және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 осы бірлескен қаулы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 № 2/13-VIII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аудандар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немесе жер пайдалануға берілетін аталған жерлерді пайдаланудың жергілікті жағдайлары мен ерекшеліктеріне қарай ауыл шаруашылығы мақсатындағы жер учаскелерінің ең аз мөлшері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немесе шаруа қожалығын жүргізу үшін Қазақстан Республикасының азаматтарына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өндiрiсiн жүргiзу үшiн мемлекеттiк емес заңды тұлғаларға және олардың үлестес тұлғаларына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 суармалы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 суармалы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