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da1b" w14:textId="d67d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облысының мектепке дейінгі ұйымдарында әлеуметтік осал топтағы отбасылардан шыққан тәрбиеленушілердің тамақтану шығындарын өтеу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2023 жылғы 26 қыркүйектегі № 179 қаулысы. Жамбыл облысы Әділет департаментінде 2023 жылғы 28 қыркүйекте № 5088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"Тиісті типтердегі және түрлердегі мектепке дейінгі, орта, техникалық және кәсіптік, орта білімнен кейінгі, қосымша білім беру ұйымдары қызметінің үлгілік қағидаларын бекіту туралы" Қазақстан Республикасы Оқу-ағарту министрінің 2022 жылғы 31 тамыздағы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тіркеудің тізілімінде № 29329 болып тіркелген) сәйкес Жамбыл облысының әкімдігі ҚАУЛЫ ЕТЕДІ: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облысындағы мемлекеттік мектепке дейiнгi ұйымдарда және мемлекеттік білім беру тапсырысы орналастырылған жекеменшік мектепке дейінгі ұйымдарда әлеуметтік осал топтағы отбасылардан шыққан тәрбиеленушілердің тамақтану шығындары толық өтелсін.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білім басқармасы" коммуналдық мемлекеттік мекемесі заңнамада белгіленген тәртіппен: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Жамбыл облысы әкімінің жетекшілік ететін орынбасарына жүктелсін.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 және 2023 жылғы 1 қыркүйектен бастап туындаған құқықтық қатынастарға қолданылады.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