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09dd" w14:textId="e910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ауданыны әкімінің 2023 жылғы 1 шілдедегі № 284 шешімі. Жамбыл облысы департаментінде 2023 жылғы 5 шілдеде № 5063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2022 жылғы 12 мамырдағы қорытындысы негізінде және тиісті аумақ халқының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қаласындағы кейбір құрамдас бөліктер келесідей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Интернатовский тұйығы Махмұд Қашқари кірме жолы;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Гагарин көшесін Әйтеке би көшесі;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Валентина Терешкова көшесін Ұлықбек көшесі;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Островский көшесін Қожа Ахмет Йассауи көшесі;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Климент Тимирязев көшесін Құрманғазы көшесі;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Кононенко көшесін Біржан сал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Кашперского көшесін Сағадат Нұрмағанбетов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М.Джалиля көшесін Тұрар Рысқұлов көшесі;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Аққу көшесін Аманжол Шәмкенов көшесі;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Волошенко көшесін Кенесары хан көшесі.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Естияр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