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9bb2" w14:textId="8449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Төле би ауылдық округінің 2023 жылғы 30 маусымдағы № 118 шешімі. Жамбыл облысы департаментінде 2023 жылғы 4 шілдеде № 5059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2022 жылғы 12 мамырдағы қорытындысы негізінде және тиісті аумақ халқының пікірін ескере отырып, ШЕШТІМ: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 би ауылдық округінің Төле би ауылындағы атауы жоқ көшелерге келесі атаулар берілсін: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жаңа көшеге Мәңгілік Ел көшесі;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жаңа көшеге Қозыбасы көшесі;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жаңа көшеге Орбұлақ көшесі;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жаңа көшеге Жерұйық көшесі;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жаңа көшеге Алаш көшесі;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6 - жаңа көшеге Ордабасы көшесі;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жаңа көшеге Ақыртас көшесі;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8 - жаңа көшеге Жүсіп Баласағұн көшесі;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9 - жаңа көшеге Жасөркен көшесі.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Төле би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