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585a" w14:textId="48c5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облысының әкімдігінің 2023 жылғы 10 қазандағы № 56/01 бірлескен қаулысы және Ұлытау облыстық мәслихатының 2023 жылғы 6 қазандағы № 6/64 шешімі. Ұлытау облысының Әділет департаментінде 2023 жылғы 16 қазанда № 59-20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кодексiнiң 50-бабының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 және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аудандардың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(гектар), құқық ретінде: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өтеулі жер уақытша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немесе фермерлік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 шетелдік қатысуы жоқ Қазақстан Республикасының мемлекеттік емес заңды тұлғасында және оның үлестес тұлғаларында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азаматында шаруа немесе фермер қожалығын жүргізу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 шетелдік қатысуы жоқ Қазақстан Республикасының мемлекеттік емес заңды тұлғасында және оның үлестес тұлғаларында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