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c9e9" w14:textId="04ec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28 желтоқсандағы № 9 шешімі. Қарағанды облысының Әділет департаментінде 2024 жылғы 3 қаңтарда № 6544-09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сәйкес,Бұқар жырау ауданының елді мекендеріндегі бағалау аймақтарының шекараларын және жер учаскелері үшін төлемақының базалық ставкаларына түзету коэффициенттері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9 шешіміне қосымша</w:t>
            </w:r>
          </w:p>
        </w:tc>
      </w:tr>
    </w:tbl>
    <w:bookmarkStart w:name="z9" w:id="3"/>
    <w:p>
      <w:pPr>
        <w:spacing w:after="0"/>
        <w:ind w:left="0"/>
        <w:jc w:val="left"/>
      </w:pPr>
      <w:r>
        <w:rPr>
          <w:rFonts w:ascii="Times New Roman"/>
          <w:b/>
          <w:i w:val="false"/>
          <w:color w:val="000000"/>
        </w:rPr>
        <w:t xml:space="preserve"> Бұқар жырау ауданы Ботақара кентінің бағалау аймақтарының шекаралары</w:t>
      </w:r>
    </w:p>
    <w:bookmarkEnd w:id="3"/>
    <w:bookmarkStart w:name="z10"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Бұқар жырау ауданы Ғабиден Мұстафин кентінің бағалау аймақтарының шекаралары</w:t>
      </w:r>
    </w:p>
    <w:bookmarkEnd w:id="5"/>
    <w:bookmarkStart w:name="z12"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99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Бұқар жырау ауданы Қушоқы кентінің бағалау аймақтарының шекаралары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5311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Бұқар жырау ауданының елді мекендеріндегі жер учаскелері үшін төлем 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орталық бөлігінде негізгі әкімшілік ғимараттар, әлеуметтік мәдени тұрмыстық нысандар, дүкендер желісі, кафелер шоғырланған. Тұрғын үй қоры 2 қабатты құрылыстың кейбір әкімшілік ғимараттарынан басқа, негізінен жеке сектордан тұрады. Бұқар жырау, Сәтпаев, Торегожин, Бауыржан Момышұлы, Абылай хан, Шопанай, Әлихан Бөкейхан, Қазыбек би көшелері ішінара кірді. Қарағанды-Қарқаралы-Аягөз автожолының бойындағы аумақ автожол осінен 100 метр және электр беру мен байланыс желілерінің астындағы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қалған бөлігі, тұрғын үй қоры жеке сектормен ұсынылған, шағын дүкендер, моншалар желісі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шекарасындағы құрылыс салудан, ауылшаруашылығы мақсатындағы жерлерден босаумақ.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өнеркәсіптік, көліктік, коммуникациялық аумақтар, өнеркәсіп жерлері, Бастау-Ақтау-Теміртау автожолының бойындағы ені 100 м жолдар осінен және электр және байланыс желілерінің астындағы "Қазақстан темір жолы" ҰК" жерлері 070, 066, 115 және 116 есептік кварталдарда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кентінің қоныстану аумағында негізгі әкімшілік ғимараттар әлеуметтік мәдени тұрмыс объектілері, дүкендер, кафелер желісі, Центральная, Корниенко, Октябрьская, Набережная, Гагарин, К. Альмагамбетов, Футбол, Мир, Юбилейная, Ахметов, Верхняя, Советская, Механизатор, Майская көшелері шоғырланған, сондай-ақ Нұра станциясының қоныстану аумағында Привокзальная, Пристанционная, Пионерская, Шахтинская, Озерная, Весовая, Элеваторная, Первомайская, Механизаторов, Крайняя, 1-й тупик, Средняя, Центральный проезд көшелері 066, 115 және 116 есептік кварталдарда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шекарасындағы құрылыс салудан бос аумақ – ауыл шаруашылығы мақсатындағы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өнеркәсіптік, көліктік, коммуникациялық аудандар, өнеркәсіптік мақсаттағы жерлер, негізгі әкімшілік ғимараттар шоғырланған кенттің орталық бөлігі әлеуметтік мәдени тұрмыстық объектілер, дүкендер желісі, кафелер орналасқан. Тұрғын үй қоры 2 және 5 қабатты үйлерден тұрады. Ішінара Разрезовская, Ысқақов Ескендір, Абай көшелері кірді.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ауылдың орталығына іргелес жеке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тұрғын үй құрылысының қалған бөлігі - жеке сектордан тұратын тұрғын үй құрылысының қалған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құрылыс салудан азат кент шекарасындағы аумақ - Ауыл шаруашылығы мақсатындағы жерлер, Майозек ауылының жеке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