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bce1" w14:textId="b38b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әкімдігінің 2021 жылғы 8 қарашадағы № 346 "Бейнеу ауданында коммуналдық көрсетілетін қызметтерді ұсыну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ауданы әкімдігінің 2023 жылғы 22 желтоқсандағы № 328 қаулысы</w:t>
      </w:r>
    </w:p>
    <w:p>
      <w:pPr>
        <w:spacing w:after="0"/>
        <w:ind w:left="0"/>
        <w:jc w:val="both"/>
      </w:pPr>
      <w:bookmarkStart w:name="z1" w:id="0"/>
      <w:r>
        <w:rPr>
          <w:rFonts w:ascii="Times New Roman"/>
          <w:b w:val="false"/>
          <w:i w:val="false"/>
          <w:color w:val="000000"/>
          <w:sz w:val="28"/>
        </w:rPr>
        <w:t>
      Бейнеу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Бейнеу ауданы әкімдігінің 2021 жылғы 8 қарашадағы </w:t>
      </w:r>
      <w:r>
        <w:rPr>
          <w:rFonts w:ascii="Times New Roman"/>
          <w:b w:val="false"/>
          <w:i w:val="false"/>
          <w:color w:val="000000"/>
          <w:sz w:val="28"/>
        </w:rPr>
        <w:t>№346</w:t>
      </w:r>
      <w:r>
        <w:rPr>
          <w:rFonts w:ascii="Times New Roman"/>
          <w:b w:val="false"/>
          <w:i w:val="false"/>
          <w:color w:val="000000"/>
          <w:sz w:val="28"/>
        </w:rPr>
        <w:t xml:space="preserve"> "Бейнеу ауданында коммуналдық көрсетілетін қызметтерді ұсыну қағидаларын бекіту туралы" қаулысына (Нормативтік құқықтық актілерді мемлекеттік тіркеу тізілімінде №160106 болып тіркелген)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Бейнеу ауданында коммуналдық көрсетілетін қызметтерді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7" w:id="5"/>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5"/>
    <w:bookmarkStart w:name="z8" w:id="6"/>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
    <w:bookmarkStart w:name="z9" w:id="7"/>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7"/>
    <w:bookmarkStart w:name="z10" w:id="8"/>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8"/>
    <w:bookmarkStart w:name="z11" w:id="9"/>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9"/>
    <w:bookmarkStart w:name="z12" w:id="10"/>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0"/>
    <w:bookmarkStart w:name="z13" w:id="11"/>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14" w:id="12"/>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5" w:id="13"/>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3"/>
    <w:bookmarkStart w:name="z16" w:id="14"/>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17" w:id="15"/>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5"/>
    <w:bookmarkStart w:name="z18" w:id="16"/>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6"/>
    <w:bookmarkStart w:name="z19" w:id="17"/>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7"/>
    <w:bookmarkStart w:name="z20" w:id="18"/>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8"/>
    <w:bookmarkStart w:name="z21" w:id="19"/>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9"/>
    <w:bookmarkStart w:name="z22" w:id="20"/>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0"/>
    <w:bookmarkStart w:name="z23" w:id="21"/>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4" w:id="22"/>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25" w:id="23"/>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3"/>
    <w:bookmarkStart w:name="z26" w:id="24"/>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27" w:id="25"/>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5"/>
    <w:bookmarkStart w:name="z28" w:id="26"/>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6"/>
    <w:bookmarkStart w:name="z29" w:id="2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3-1-тармақпен толықтырылсын</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мынадай редакцияда жазылсын:</w:t>
      </w:r>
    </w:p>
    <w:bookmarkStart w:name="z32" w:id="2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9"/>
    <w:bookmarkStart w:name="z33" w:id="3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0"/>
    <w:bookmarkStart w:name="z34" w:id="3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1"/>
    <w:bookmarkStart w:name="z35" w:id="3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2"/>
    <w:bookmarkStart w:name="z36"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мынадай редакцияда жазылсын:</w:t>
      </w:r>
    </w:p>
    <w:bookmarkStart w:name="z38" w:id="3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4"/>
    <w:bookmarkStart w:name="z39" w:id="3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5"/>
    <w:bookmarkStart w:name="z40" w:id="3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мынадай редакцияда жазылсын:</w:t>
      </w:r>
    </w:p>
    <w:bookmarkStart w:name="z42" w:id="3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мынадай редакцияда жазылсын:</w:t>
      </w:r>
    </w:p>
    <w:bookmarkStart w:name="z44" w:id="3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мынадай редакцияда жазылсын:</w:t>
      </w:r>
    </w:p>
    <w:bookmarkStart w:name="z46" w:id="39"/>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мынадай редакцияда жазылсын:</w:t>
      </w:r>
    </w:p>
    <w:bookmarkStart w:name="z48" w:id="40"/>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және </w:t>
      </w:r>
      <w:r>
        <w:rPr>
          <w:rFonts w:ascii="Times New Roman"/>
          <w:b w:val="false"/>
          <w:i w:val="false"/>
          <w:color w:val="000000"/>
          <w:sz w:val="28"/>
        </w:rPr>
        <w:t>35-тармақтар</w:t>
      </w:r>
      <w:r>
        <w:rPr>
          <w:rFonts w:ascii="Times New Roman"/>
          <w:b w:val="false"/>
          <w:i w:val="false"/>
          <w:color w:val="000000"/>
          <w:sz w:val="28"/>
        </w:rPr>
        <w:t> мынадай редакцияда жазылсын:</w:t>
      </w:r>
    </w:p>
    <w:bookmarkStart w:name="z50" w:id="41"/>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1"/>
    <w:bookmarkStart w:name="z51" w:id="4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2"/>
    <w:bookmarkStart w:name="z52" w:id="4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3"/>
    <w:bookmarkStart w:name="z53" w:id="4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4"/>
    <w:bookmarkStart w:name="z54" w:id="4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5"/>
    <w:bookmarkStart w:name="z55" w:id="4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6"/>
    <w:bookmarkStart w:name="z56" w:id="47"/>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7"/>
    <w:bookmarkStart w:name="z57" w:id="4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8"/>
    <w:bookmarkStart w:name="z58" w:id="4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9"/>
    <w:bookmarkStart w:name="z59" w:id="5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0"/>
    <w:bookmarkStart w:name="z60" w:id="5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1"/>
    <w:bookmarkStart w:name="z61" w:id="5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2"/>
    <w:bookmarkStart w:name="z62" w:id="5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3"/>
    <w:bookmarkStart w:name="z63" w:id="54"/>
    <w:p>
      <w:pPr>
        <w:spacing w:after="0"/>
        <w:ind w:left="0"/>
        <w:jc w:val="both"/>
      </w:pPr>
      <w:r>
        <w:rPr>
          <w:rFonts w:ascii="Times New Roman"/>
          <w:b w:val="false"/>
          <w:i w:val="false"/>
          <w:color w:val="000000"/>
          <w:sz w:val="28"/>
        </w:rPr>
        <w:t>
      осы бұйрыққа қосымшаға сәйкес қосымшамен толықтырылсын.</w:t>
      </w:r>
    </w:p>
    <w:bookmarkEnd w:id="54"/>
    <w:bookmarkStart w:name="z64" w:id="55"/>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55"/>
    <w:bookmarkStart w:name="z65" w:id="5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56"/>
    <w:bookmarkStart w:name="z66" w:id="57"/>
    <w:p>
      <w:pPr>
        <w:spacing w:after="0"/>
        <w:ind w:left="0"/>
        <w:jc w:val="both"/>
      </w:pPr>
      <w:r>
        <w:rPr>
          <w:rFonts w:ascii="Times New Roman"/>
          <w:b w:val="false"/>
          <w:i w:val="false"/>
          <w:color w:val="000000"/>
          <w:sz w:val="28"/>
        </w:rPr>
        <w:t>
      Бейнеу ауданының әкімі       Р.Шалбаев</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8"/>
    <w:p>
      <w:pPr>
        <w:spacing w:after="0"/>
        <w:ind w:left="0"/>
        <w:jc w:val="left"/>
      </w:pPr>
      <w:r>
        <w:rPr>
          <w:rFonts w:ascii="Times New Roman"/>
          <w:b/>
          <w:i w:val="false"/>
          <w:color w:val="000000"/>
        </w:rPr>
        <w:t xml:space="preserve">  Бірыңғай төлем құжаты/Единый платежный документ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 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  Преды  дущие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 Теку 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____</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телді/</w:t>
            </w:r>
          </w:p>
          <w:p>
            <w:pPr>
              <w:spacing w:after="20"/>
              <w:ind w:left="20"/>
              <w:jc w:val="both"/>
            </w:pPr>
            <w:r>
              <w:rPr>
                <w:rFonts w:ascii="Times New Roman"/>
                <w:b w:val="false"/>
                <w:i w:val="false"/>
                <w:color w:val="000000"/>
                <w:sz w:val="20"/>
              </w:rPr>
              <w:t>
Начи</w:t>
            </w:r>
          </w:p>
          <w:p>
            <w:pPr>
              <w:spacing w:after="20"/>
              <w:ind w:left="20"/>
              <w:jc w:val="both"/>
            </w:pPr>
            <w:r>
              <w:rPr>
                <w:rFonts w:ascii="Times New Roman"/>
                <w:b w:val="false"/>
                <w:i w:val="false"/>
                <w:color w:val="000000"/>
                <w:sz w:val="20"/>
              </w:rPr>
              <w:t>
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w:t>
            </w:r>
          </w:p>
          <w:p>
            <w:pPr>
              <w:spacing w:after="20"/>
              <w:ind w:left="20"/>
              <w:jc w:val="both"/>
            </w:pPr>
            <w:r>
              <w:rPr>
                <w:rFonts w:ascii="Times New Roman"/>
                <w:b w:val="false"/>
                <w:i w:val="false"/>
                <w:color w:val="000000"/>
                <w:sz w:val="20"/>
              </w:rPr>
              <w:t>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есеп теу/</w:t>
            </w:r>
          </w:p>
          <w:p>
            <w:pPr>
              <w:spacing w:after="20"/>
              <w:ind w:left="20"/>
              <w:jc w:val="both"/>
            </w:pPr>
            <w:r>
              <w:rPr>
                <w:rFonts w:ascii="Times New Roman"/>
                <w:b w:val="false"/>
                <w:i w:val="false"/>
                <w:color w:val="000000"/>
                <w:sz w:val="20"/>
              </w:rPr>
              <w:t>
Пере рас</w:t>
            </w:r>
          </w:p>
          <w:p>
            <w:pPr>
              <w:spacing w:after="20"/>
              <w:ind w:left="20"/>
              <w:jc w:val="both"/>
            </w:pPr>
            <w:r>
              <w:rPr>
                <w:rFonts w:ascii="Times New Roman"/>
                <w:b w:val="false"/>
                <w:i w:val="false"/>
                <w:color w:val="000000"/>
                <w:sz w:val="20"/>
              </w:rPr>
              <w:t>
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w:t>
            </w:r>
          </w:p>
          <w:p>
            <w:pPr>
              <w:spacing w:after="20"/>
              <w:ind w:left="20"/>
              <w:jc w:val="both"/>
            </w:pPr>
            <w:r>
              <w:rPr>
                <w:rFonts w:ascii="Times New Roman"/>
                <w:b w:val="false"/>
                <w:i w:val="false"/>
                <w:color w:val="000000"/>
                <w:sz w:val="20"/>
              </w:rPr>
              <w:t>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p>
            <w:pPr>
              <w:spacing w:after="20"/>
              <w:ind w:left="20"/>
              <w:jc w:val="both"/>
            </w:pPr>
            <w:r>
              <w:rPr>
                <w:rFonts w:ascii="Times New Roman"/>
                <w:b w:val="false"/>
                <w:i w:val="false"/>
                <w:color w:val="000000"/>
                <w:sz w:val="20"/>
              </w:rPr>
              <w:t>
Теплоснаб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w:t>
            </w:r>
          </w:p>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w:t>
            </w:r>
          </w:p>
          <w:p>
            <w:pPr>
              <w:spacing w:after="20"/>
              <w:ind w:left="20"/>
              <w:jc w:val="both"/>
            </w:pPr>
            <w:r>
              <w:rPr>
                <w:rFonts w:ascii="Times New Roman"/>
                <w:b w:val="false"/>
                <w:i w:val="false"/>
                <w:color w:val="000000"/>
                <w:sz w:val="20"/>
              </w:rPr>
              <w:t>
водосна 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w:t>
            </w:r>
          </w:p>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p>
            <w:pPr>
              <w:spacing w:after="20"/>
              <w:ind w:left="20"/>
              <w:jc w:val="both"/>
            </w:pPr>
            <w:r>
              <w:rPr>
                <w:rFonts w:ascii="Times New Roman"/>
                <w:b w:val="false"/>
                <w:i w:val="false"/>
                <w:color w:val="000000"/>
                <w:sz w:val="20"/>
              </w:rPr>
              <w:t>
Водо 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 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 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59"/>
    <w:p>
      <w:pPr>
        <w:spacing w:after="0"/>
        <w:ind w:left="0"/>
        <w:jc w:val="both"/>
      </w:pPr>
      <w:r>
        <w:rPr>
          <w:rFonts w:ascii="Times New Roman"/>
          <w:b w:val="false"/>
          <w:i w:val="false"/>
          <w:color w:val="000000"/>
          <w:sz w:val="28"/>
        </w:rPr>
        <w:t>
      Төлеу мерзімі " " жыл/Срок оплаты " " года</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