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972f" w14:textId="1bf9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2022 жылғы 8 сәуірдегі № 18/110 "Мұнайлы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2023 жылғы 18 мамырдағы № 3/21 шешімі. Маңғыстау облысы Әділет департаментінде 2023 жылғы 26 мамырда № 4566-12 болып тіркелді</w:t>
      </w:r>
    </w:p>
    <w:p>
      <w:pPr>
        <w:spacing w:after="0"/>
        <w:ind w:left="0"/>
        <w:jc w:val="both"/>
      </w:pPr>
      <w:bookmarkStart w:name="z1" w:id="0"/>
      <w:r>
        <w:rPr>
          <w:rFonts w:ascii="Times New Roman"/>
          <w:b w:val="false"/>
          <w:i w:val="false"/>
          <w:color w:val="000000"/>
          <w:sz w:val="28"/>
        </w:rPr>
        <w:t>
      Мұнайлы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Мұнайлы аудандық мәслихатының 2022 жылғы 8 сәуірдегі </w:t>
      </w:r>
      <w:r>
        <w:rPr>
          <w:rFonts w:ascii="Times New Roman"/>
          <w:b w:val="false"/>
          <w:i w:val="false"/>
          <w:color w:val="000000"/>
          <w:sz w:val="28"/>
        </w:rPr>
        <w:t>№18/110</w:t>
      </w:r>
      <w:r>
        <w:rPr>
          <w:rFonts w:ascii="Times New Roman"/>
          <w:b w:val="false"/>
          <w:i w:val="false"/>
          <w:color w:val="000000"/>
          <w:sz w:val="28"/>
        </w:rPr>
        <w:t xml:space="preserve"> "Мұнайлы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(Нормативтік құқықтық актілерді мемлекеттік тіркеу Тізілімінде №27640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18/110 шешіміне қосымша</w:t>
            </w:r>
          </w:p>
        </w:tc>
      </w:tr>
    </w:tbl>
    <w:bookmarkStart w:name="z11" w:id="4"/>
    <w:p>
      <w:pPr>
        <w:spacing w:after="0"/>
        <w:ind w:left="0"/>
        <w:jc w:val="left"/>
      </w:pPr>
      <w:r>
        <w:rPr>
          <w:rFonts w:ascii="Times New Roman"/>
          <w:b/>
          <w:i w:val="false"/>
          <w:color w:val="000000"/>
        </w:rPr>
        <w:t xml:space="preserve"> Мұнайлы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12" w:id="5"/>
    <w:p>
      <w:pPr>
        <w:spacing w:after="0"/>
        <w:ind w:left="0"/>
        <w:jc w:val="both"/>
      </w:pPr>
      <w:r>
        <w:rPr>
          <w:rFonts w:ascii="Times New Roman"/>
          <w:b w:val="false"/>
          <w:i w:val="false"/>
          <w:color w:val="000000"/>
          <w:sz w:val="28"/>
        </w:rPr>
        <w:t xml:space="preserve">
      1. Осы Мұнайлы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№22394 болып тіркелген) (бұдан әрі - Қағидалар) сәйкес әзірленді.</w:t>
      </w:r>
    </w:p>
    <w:bookmarkEnd w:id="5"/>
    <w:bookmarkStart w:name="z13"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үйде оқу фактісін растайтын оқу орнының анықтамасы негізінде "Мұнайлы аудандық жұмыспен қамту және әлеуметтік бағдарламалар бөлімі" мемлекеттік мекемесімен жүргізіледі.</w:t>
      </w:r>
    </w:p>
    <w:bookmarkEnd w:id="6"/>
    <w:bookmarkStart w:name="z14"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
    <w:bookmarkStart w:name="z15"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16" w:id="9"/>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17" w:id="10"/>
    <w:p>
      <w:pPr>
        <w:spacing w:after="0"/>
        <w:ind w:left="0"/>
        <w:jc w:val="both"/>
      </w:pPr>
      <w:r>
        <w:rPr>
          <w:rFonts w:ascii="Times New Roman"/>
          <w:b w:val="false"/>
          <w:i w:val="false"/>
          <w:color w:val="000000"/>
          <w:sz w:val="28"/>
        </w:rPr>
        <w:t xml:space="preserve">
      6. Үйде оқытуға жұмсаған шығындарды өндіріп алу үшін өтініш беруші "Азаматтарға арналған үкімет" мемлекеттік корпорациясы" коммерциялық емес ақционерлік қоғамы арқылы уәкілетті органға немесе порталға шығындарды өтеу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өтінішпен жүгінеді.</w:t>
      </w:r>
    </w:p>
    <w:bookmarkEnd w:id="10"/>
    <w:bookmarkStart w:name="z18" w:id="11"/>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19" w:id="12"/>
    <w:p>
      <w:pPr>
        <w:spacing w:after="0"/>
        <w:ind w:left="0"/>
        <w:jc w:val="both"/>
      </w:pPr>
      <w:r>
        <w:rPr>
          <w:rFonts w:ascii="Times New Roman"/>
          <w:b w:val="false"/>
          <w:i w:val="false"/>
          <w:color w:val="000000"/>
          <w:sz w:val="28"/>
        </w:rPr>
        <w:t>
      7. Оқытуға жұмсаған шығындарды өндіріп алу мөлшері ай сайын әрбір мүгедектігі бар балаға 5 (бес) айлық есептік көрсеткішке тең.</w:t>
      </w:r>
    </w:p>
    <w:bookmarkEnd w:id="12"/>
    <w:bookmarkStart w:name="z20" w:id="13"/>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Қағидаларға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