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fa3d" w14:textId="b48f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2014 жылғы 17 қарашадағы № 66 "Денисов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2023 жылғы 17 қарашадағы № 75 шешімі. Қостанай облысының Әділет департаментінде 2023 жылғы 22 қарашада № 10088 болып тіркелді. Күші жойылды - Қостанай облысы Денисов ауданы мәслихатының 2024 жылғы 10 шілдедегі № 42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10.07.2024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"Денисов ауданында тұрғын үй көмегін көрсетудің мөлшері мен тәртібін айқындау туралы" мәслихаттың 2014 жылғы 17 қарашадағы № 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5215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Министрдің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реттеледі.".</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