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f647" w14:textId="860f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2022 жылғы 26 мамырдағы № 72-18-7 "Ертіс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2023 жылғы 18 қазандағы № 31-9-8 шешімі. Павлодар облысының Әділет департаментінде 2023 жылғы 19 қазанда № 7410-14 болып тіркелді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"Ертіс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26 мамырдағы № 72-18-7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28289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Осы Ертіс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(бұдан әрі – шығындарды өтеу қағидалары) (Нормативтік құқықтық актілерді мемлекеттік тіркеу тізілімінде № 22394 болып тіркелген) мемлекеттік қызметін көрсету қағидаларына сәйкес әзірленді.".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