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81a2" w14:textId="c968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қаласының кейбір құрамдас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2023 жылғы 17 сәуірдегі № 50 және Солтүстік Қазақстан облыстық мәслихатының 2023 жылғы 17 сәуірдегі № 2/6 бірлескен қаулысы мен шешімі. Солтүстік Қазақстан облысының Әділет департаментінде 2023 жылғы 18 сәуірде № 7473-15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11-бабы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Петропавл қаласы халқының пікірін ескере отыра, Республикалық ономастика комиссиясының 2022 жылғы 22 қыркүйектегі қорытындысы негізінде Солтүстік Қазақстан облысының әкімдігі ҚАУЛЫ ЕТЕДІ және Солтүстік Қазақстан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Петропавл қаласы "Солнечный" шағын ауданының келесі құрамдас бөліктеріне мынадай атау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көшеге – Шаңырақ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көшеге – Ынтымақ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көшеге – Саяхат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көшеге – Баянды көшесі;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көшеге – Шабыт көшесі;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 көшеге – Думан көшесі;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 көшеге – Аққайың көшесі;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 көшеге – Қайнар көшесі;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 көшеге – Достық көшесі;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 көшеге – Көктерек көшесі;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 көшеге – Татулық көшесі;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 көшеге – Сарыарқа көшесі;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 көшеге – Ұлытау көшесі;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 көшеге – Отбасы көшесі;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 көшеге – Жарқын көшесі;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 көшеге – Орда көшесі.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бірлескен әкімдік қаулысы мен мәслихат шешімі оның алғашқы ресми жарияланған күнінен кейін күнтізбелік он күн өткен соң қолданысқа енгізіледі.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