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a9e2" w14:textId="61fa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2015 жылғы 20 қарашадағы № 332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7 сәуірдегі № 21 шешімі. Атырау облысының Әділет департаментінде 2023 жылғы 17 сәуірде № 4997-06 болып тіркелді</w:t>
      </w:r>
    </w:p>
    <w:p>
      <w:pPr>
        <w:spacing w:after="0"/>
        <w:ind w:left="0"/>
        <w:jc w:val="both"/>
      </w:pPr>
      <w:bookmarkStart w:name="z4" w:id="0"/>
      <w:r>
        <w:rPr>
          <w:rFonts w:ascii="Times New Roman"/>
          <w:b w:val="false"/>
          <w:i w:val="false"/>
          <w:color w:val="000000"/>
          <w:sz w:val="28"/>
        </w:rPr>
        <w:t>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"Мүгедектер қатарындағы кемтар балаларды жеке оқыту жоспары бойынша үйде оқытуға жұмсаған шығындарын айқындау тәртібі мен мөлшерін белгілеу туралы" 2015 жылғы 20 қарашадағы № 332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3366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7 сәуірдегі № 21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20 қарашадағы № 332 шешіміне</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7" w:id="10"/>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"Махамбет аудандық жұмыспен қамту, әлеуметтік бағдарламалар және азаматтық хал актілерін тіркеу бөлімі" мемлекеттік мекемесі жүргізеді.</w:t>
      </w:r>
    </w:p>
    <w:bookmarkEnd w:id="11"/>
    <w:bookmarkStart w:name="z19"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6. Оқытуға жұмсаған шығындарын өндіріп алу мөлшері оқу жылы ішінде әр мүгедектігі бар балаға ай сайын 5 (бес) айлық есептік көрсеткішке тең.</w:t>
      </w:r>
    </w:p>
    <w:bookmarkEnd w:id="15"/>
    <w:bookmarkStart w:name="z23" w:id="16"/>
    <w:p>
      <w:pPr>
        <w:spacing w:after="0"/>
        <w:ind w:left="0"/>
        <w:jc w:val="both"/>
      </w:pPr>
      <w:r>
        <w:rPr>
          <w:rFonts w:ascii="Times New Roman"/>
          <w:b w:val="false"/>
          <w:i w:val="false"/>
          <w:color w:val="000000"/>
          <w:sz w:val="28"/>
        </w:rPr>
        <w:t>
      7. Оқытуға жұмсаған шығындарды өндіріп алудан бас тарту негіздері шығындарды өтеу қағидаларының 3-қосымшасының тоғызыншы тармағында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