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63f2" w14:textId="5ac6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28 қыркүйектегі № 8-4 шешімі. Атырау облысының Әділет департаментінде 2023 жылғы 29 қыркүйекте № 5087-06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VIII шақырылған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келесі шешімдерінің күші жойылсын: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мәслихаттың 2008 жылғы 21 қаңтардағы № IV-2 "Қызылқоға ауданында аз қамтылған отбасыларына (азаматтарға) тұрғын үйді ұстауға және коммуналдық қызметтерді тұтынуға төлем төлуге тұрғын үй көмегін көрсету қағида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4-5-92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мәслихаттың 2009 жылғы 24 сәуірдегі № Х-10 "Аудандық мәслихаттың 2008 жылғы 21 қаңтардағы № IV-2 "Қызылқоға ауданында аз қамтылған отбасыларына (азаматтарға) тұрғын үйді ұстауға және коммуналдық қызметтерді тұтынуға төлем төлеуге тұрғын үй көмегін көрсету қағида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4-5-109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Қызылқоға аудандық мәслихаты аппаратының басшысына (К. Кумаров)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