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9a97" w14:textId="d499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2023 жылғы 20 қыркүйектегі № 41 шешiмi. Түркістан облысының Әдiлет департаментiнде 2023 жылғы 22 қыркүйекте № 6353-13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қалалық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қалалық мәслихатының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2020 жылғы 25 қыркүйектегі № 382 "Кентау қаласының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5860 тіркелген).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Кентау қалалық мәслихатының 2021 жылғы 10 наурыздағы № 21 "Кентау қалалық мәслихатының 2020 жылғы 25 қыркүйектегі № 382 "Кентау қалалсының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6132 тіркелген).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Кентау қалалық мәслихатының 2021 жылғы 5 мамырдағы № 47 "Кентау қалалық мәслихатының 2020 жылғы 25 қыркүйектегі № 382 "Кентау қалалсының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6202 тіркелген).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Кентау қалалық мәслихатының 2022 жылғы 15 сәуірдегі № 136 "Кентау қалалық мәслихатының 2020 жылғы 25 қыркүйектегі № 382 "Кентау қалалсының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27826 тіркелген).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Кентау қалалық мәслихатының 2023 жылғы 26 сәуірдегі № 8 "Кентау қалалық мәслихатының 2020 жылғы 25 қыркүйектегі № 382 "Кентау қалалсының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6259-13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