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f47d" w14:textId="b31f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Ұшқын ауылдық округі әкімінің 2023 жылғы 6 ақпандағы № 6 шешiмi. Түркістан облысының Әдiлет департаментiнде 2023 жылғы 7 ақпанда № 6237-13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тиiстi аумақ халқының пiкiрiн ескере отырып және Түркістан облысы әкімдігінің жанындағы облыстық ономастика комиссиясының 2022 жылғы 18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Ұшқын ауылдық округінің Достық ауылындағы атауы жоқ көшелеріне келесі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атауы жоқ көшеге – Түркістан көшесі;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атауы жоқ көшеге – Ыбырай Алтынсарин көшесі;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№ 3 атауы жоқ көшеге – Жәңгірхан көшесі;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атауы жоқ көшеге – Ахмет Байтұрсынұлы көшесі;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атауы жоқ көшеге – Ұлы Дала көшесі;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атауы жоқ көшеге – Мұстафа Шоқай көшесі.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