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dea" w14:textId="f602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"Меншікке немесе жер пайдалануға берілетін ауыл шаруашылығы мақсатындағы жер учаскелерінің ең аз мөлшерлерін белгілеу туралы" Шығыс Қазақстан облысы әкімдігінің 2012 жылғы 2 шілдедегі № 153 бірлескен қаулысына және Шығыс Қазақстан облыстық мәслихатының 2012 жылғы 3 шілдедегі № 4/65-V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12 мамырдағы № 99 бірлескен қаулысы және Шығыс Қазақстан облыстық мәслихатының 2023 жылғы 31 мамырдағы № 3/24-VIII шешімі. Шығыс Қазақстан облысының Әділет департаментінде 2023 жылғы 7 маусымда № 8858-16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"Меншікке немесе жер пайдалануға берілетін ауыл шаруашылығы мақсатындағы жер учаскелерінің ең аз мөлшерлерін белгілеу туралы" Шығыс Қазақстан облысы әкімдігінің 2012 жылғы 2 шілдедегі № 153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2012 жылғы 3 шілдедегі № 4/65-V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2623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мөлшерлерін белгілеу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 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 № 99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 № 3/24-VIII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 шілдедегі № 153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3 шілдедегі № 4/65-V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мөлшерлері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құқығымен немесе уақытша өтеулі жер пайдалану (жалға алу) құқығымен болуы мүмкін бір әкімшілік ауданның (қаланың) шегінде ауыл шаруашылығы мақсатындағы жер учаскелерінің ең аз мөлшері,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немесе фермер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