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23c5" w14:textId="20e23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2019 жылғы 25 қазандағы № 49/2-VI "Өскемен қаласы бойынша тұрғын үй сертификаттарының мөлшерін және алушылар санатының тізбесін айқындау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Өскемен қалалық мәслихатының 2023 жылғы 19 қазандағы № 10/5-VIII шешімі. Шығыс Қазақстан облысының Әділет департаментінде 2023 жылғы 31 қазанда № 8903-16 болып тіркелді</w:t>
      </w:r>
    </w:p>
    <w:p>
      <w:pPr>
        <w:spacing w:after="0"/>
        <w:ind w:left="0"/>
        <w:jc w:val="both"/>
      </w:pPr>
      <w:bookmarkStart w:name="z5" w:id="0"/>
      <w:r>
        <w:rPr>
          <w:rFonts w:ascii="Times New Roman"/>
          <w:b w:val="false"/>
          <w:i w:val="false"/>
          <w:color w:val="000000"/>
          <w:sz w:val="28"/>
        </w:rPr>
        <w:t>
      Өскемен қалалық мәслихаты ШЕШТІ:</w:t>
      </w:r>
    </w:p>
    <w:bookmarkEnd w:id="0"/>
    <w:bookmarkStart w:name="z6" w:id="1"/>
    <w:p>
      <w:pPr>
        <w:spacing w:after="0"/>
        <w:ind w:left="0"/>
        <w:jc w:val="both"/>
      </w:pPr>
      <w:r>
        <w:rPr>
          <w:rFonts w:ascii="Times New Roman"/>
          <w:b w:val="false"/>
          <w:i w:val="false"/>
          <w:color w:val="000000"/>
          <w:sz w:val="28"/>
        </w:rPr>
        <w:t xml:space="preserve">
      1. Өскемен қалалық мәслихатының 2019 жылғы 25 қазандағы № 49/2-VI "Өскемен қаласы бойынша тұрғын үй сертификаттарының мөлшерін және алушылар санатының тізбесін айқындау туралы" (Нормативтік құқықтық актілерді мемлекеттік тіркеу тізілімінде № 6248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"2. Өскемен қаласы бойынша тұрғын үй сертификаттарын алушылар санатының тізбесі айқындалсын:</w:t>
      </w:r>
    </w:p>
    <w:bookmarkEnd w:id="2"/>
    <w:bookmarkStart w:name="z9" w:id="3"/>
    <w:p>
      <w:pPr>
        <w:spacing w:after="0"/>
        <w:ind w:left="0"/>
        <w:jc w:val="both"/>
      </w:pPr>
      <w:r>
        <w:rPr>
          <w:rFonts w:ascii="Times New Roman"/>
          <w:b w:val="false"/>
          <w:i w:val="false"/>
          <w:color w:val="000000"/>
          <w:sz w:val="28"/>
        </w:rPr>
        <w:t>
      Ұлы Отан соғысының ардагерлері;</w:t>
      </w:r>
    </w:p>
    <w:bookmarkEnd w:id="3"/>
    <w:bookmarkStart w:name="z10" w:id="4"/>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w:t>
      </w:r>
    </w:p>
    <w:bookmarkEnd w:id="4"/>
    <w:bookmarkStart w:name="z11" w:id="5"/>
    <w:p>
      <w:pPr>
        <w:spacing w:after="0"/>
        <w:ind w:left="0"/>
        <w:jc w:val="both"/>
      </w:pPr>
      <w:r>
        <w:rPr>
          <w:rFonts w:ascii="Times New Roman"/>
          <w:b w:val="false"/>
          <w:i w:val="false"/>
          <w:color w:val="000000"/>
          <w:sz w:val="28"/>
        </w:rPr>
        <w:t>
      басқа мемлекеттердің аумағындағы ұрыс қимылдарының ардагерлері;</w:t>
      </w:r>
    </w:p>
    <w:bookmarkEnd w:id="5"/>
    <w:bookmarkStart w:name="z12" w:id="6"/>
    <w:p>
      <w:pPr>
        <w:spacing w:after="0"/>
        <w:ind w:left="0"/>
        <w:jc w:val="both"/>
      </w:pPr>
      <w:r>
        <w:rPr>
          <w:rFonts w:ascii="Times New Roman"/>
          <w:b w:val="false"/>
          <w:i w:val="false"/>
          <w:color w:val="000000"/>
          <w:sz w:val="28"/>
        </w:rPr>
        <w:t>
      бірінші және екінші топтардағы мүгедектігі бар адамдар;</w:t>
      </w:r>
    </w:p>
    <w:bookmarkEnd w:id="6"/>
    <w:bookmarkStart w:name="z13" w:id="7"/>
    <w:p>
      <w:pPr>
        <w:spacing w:after="0"/>
        <w:ind w:left="0"/>
        <w:jc w:val="both"/>
      </w:pPr>
      <w:r>
        <w:rPr>
          <w:rFonts w:ascii="Times New Roman"/>
          <w:b w:val="false"/>
          <w:i w:val="false"/>
          <w:color w:val="000000"/>
          <w:sz w:val="28"/>
        </w:rPr>
        <w:t>
      мүгедектігі бар балалары бар немесе оларды тәрбиелеуші отбасылар;</w:t>
      </w:r>
    </w:p>
    <w:bookmarkEnd w:id="7"/>
    <w:bookmarkStart w:name="z14" w:id="8"/>
    <w:p>
      <w:pPr>
        <w:spacing w:after="0"/>
        <w:ind w:left="0"/>
        <w:jc w:val="both"/>
      </w:pPr>
      <w:r>
        <w:rPr>
          <w:rFonts w:ascii="Times New Roman"/>
          <w:b w:val="false"/>
          <w:i w:val="false"/>
          <w:color w:val="000000"/>
          <w:sz w:val="28"/>
        </w:rPr>
        <w:t>
      жасына қарай зейнет демалысына шыққан зейнеткерлер;</w:t>
      </w:r>
    </w:p>
    <w:bookmarkEnd w:id="8"/>
    <w:bookmarkStart w:name="z15" w:id="9"/>
    <w:p>
      <w:pPr>
        <w:spacing w:after="0"/>
        <w:ind w:left="0"/>
        <w:jc w:val="both"/>
      </w:pPr>
      <w:r>
        <w:rPr>
          <w:rFonts w:ascii="Times New Roman"/>
          <w:b w:val="false"/>
          <w:i w:val="false"/>
          <w:color w:val="000000"/>
          <w:sz w:val="28"/>
        </w:rPr>
        <w:t>
      кәмелетке толғанға дейін ата-анасынан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мерзiмдi әскери қызметтен өту мерзiмiне ұзартылады;</w:t>
      </w:r>
    </w:p>
    <w:bookmarkEnd w:id="9"/>
    <w:bookmarkStart w:name="z16" w:id="10"/>
    <w:p>
      <w:pPr>
        <w:spacing w:after="0"/>
        <w:ind w:left="0"/>
        <w:jc w:val="both"/>
      </w:pPr>
      <w:r>
        <w:rPr>
          <w:rFonts w:ascii="Times New Roman"/>
          <w:b w:val="false"/>
          <w:i w:val="false"/>
          <w:color w:val="000000"/>
          <w:sz w:val="28"/>
        </w:rPr>
        <w:t>
      қандастар;</w:t>
      </w:r>
    </w:p>
    <w:bookmarkEnd w:id="10"/>
    <w:bookmarkStart w:name="z17" w:id="11"/>
    <w:p>
      <w:pPr>
        <w:spacing w:after="0"/>
        <w:ind w:left="0"/>
        <w:jc w:val="both"/>
      </w:pPr>
      <w:r>
        <w:rPr>
          <w:rFonts w:ascii="Times New Roman"/>
          <w:b w:val="false"/>
          <w:i w:val="false"/>
          <w:color w:val="000000"/>
          <w:sz w:val="28"/>
        </w:rPr>
        <w:t>
      экологиялық зiлзалалар, табиғи және техногендi сипаттағы төтенше жағдайлар салдарынан тұрғын үйiнен айырылған адамдар;</w:t>
      </w:r>
    </w:p>
    <w:bookmarkEnd w:id="11"/>
    <w:bookmarkStart w:name="z18" w:id="12"/>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12"/>
    <w:bookmarkStart w:name="z19" w:id="13"/>
    <w:p>
      <w:pPr>
        <w:spacing w:after="0"/>
        <w:ind w:left="0"/>
        <w:jc w:val="both"/>
      </w:pPr>
      <w:r>
        <w:rPr>
          <w:rFonts w:ascii="Times New Roman"/>
          <w:b w:val="false"/>
          <w:i w:val="false"/>
          <w:color w:val="000000"/>
          <w:sz w:val="28"/>
        </w:rPr>
        <w:t>
      мемлекеттiк немесе қоғамдық мiндеттерiн, әскери қызметiн орындау кезiнде, ғарыш кеңістігіне ұшуды дайындау немесе жүзеге асыру кезінде, адам өмiрiн құтқару кезiнде, құқық тәртiбiн қорғау кезiнде қаза тапқан (қайтыс болған) адамдардың отбасылары;</w:t>
      </w:r>
    </w:p>
    <w:bookmarkEnd w:id="13"/>
    <w:bookmarkStart w:name="z20" w:id="14"/>
    <w:p>
      <w:pPr>
        <w:spacing w:after="0"/>
        <w:ind w:left="0"/>
        <w:jc w:val="both"/>
      </w:pPr>
      <w:r>
        <w:rPr>
          <w:rFonts w:ascii="Times New Roman"/>
          <w:b w:val="false"/>
          <w:i w:val="false"/>
          <w:color w:val="000000"/>
          <w:sz w:val="28"/>
        </w:rPr>
        <w:t>
      толық емес отбасылар;</w:t>
      </w:r>
    </w:p>
    <w:bookmarkEnd w:id="14"/>
    <w:bookmarkStart w:name="z21" w:id="15"/>
    <w:p>
      <w:pPr>
        <w:spacing w:after="0"/>
        <w:ind w:left="0"/>
        <w:jc w:val="both"/>
      </w:pPr>
      <w:r>
        <w:rPr>
          <w:rFonts w:ascii="Times New Roman"/>
          <w:b w:val="false"/>
          <w:i w:val="false"/>
          <w:color w:val="000000"/>
          <w:sz w:val="28"/>
        </w:rPr>
        <w:t xml:space="preserve">
      Қазақстан Республикасы Еңбек және халықты әлеуметтік қорғау министрінің 2023 жылғы 20 мамырдағы № 161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32546 болып тіркелген) Еңбек ресурстарын болжаудың ұлттық жүйесін қалыптастыру және оның нәтижелерін пайдалану қағидаларына сәйкес құрылатын, еңбек ресурстарының болжамы есебімен, еңбек және жұмыспен қамту статистикасы бойынша статистикалық байқауларды талдау негізінде анықталған, сұранысқа ие денсаулық сақтау, білім беру, мәдениет, спорт және әлеуметтік қамсыздандыру мамандары.".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жаңа редакцияда жазылсын:</w:t>
      </w:r>
    </w:p>
    <w:bookmarkStart w:name="z23" w:id="16"/>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16"/>
    <w:bookmarkStart w:name="z24" w:id="1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Өскемен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