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8269" w14:textId="0b88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және мәдениет саласындағы мамандарға жиырма бес пайызға 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2023 жылғы 28 сәуірдегі № 3/29-VIII шешімі. Шығыс Қазақстан облысының Әділет департаментінде 2023 жылғы 10 мамырда № 8839-16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және мәдениет саласындағы мамандарға қалалық жағдайларда қызметтің осы түрлерімен айналысатын азаматтық қызметшілердің айлықақыларымен мен мөлшерлемелерімен салыстырғанда бюджет қаражаты есебінен жиырма бес пайызға жоғарылатылған лауазымдық айлықақылар мен тарифтік мөлшерлемелер белгіленсін.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кейiн күнтiзбелiк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