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5a7d" w14:textId="6855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2022 жылғы 21 ақпандағы № 129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27 маусымдағы № 52 шешімі. Шығыс Қазақстан облысының Әділет департаментінде 2023 жылғы 4 шілдеде № 8881-16 болып тіркелді</w:t>
      </w:r>
    </w:p>
    <w:p>
      <w:pPr>
        <w:spacing w:after="0"/>
        <w:ind w:left="0"/>
        <w:jc w:val="both"/>
      </w:pPr>
      <w:bookmarkStart w:name="z5" w:id="0"/>
      <w:r>
        <w:rPr>
          <w:rFonts w:ascii="Times New Roman"/>
          <w:b w:val="false"/>
          <w:i w:val="false"/>
          <w:color w:val="000000"/>
          <w:sz w:val="28"/>
        </w:rPr>
        <w:t>
      Ұлан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Ұлан аудандық мәслихатының 2022 жылғы 21 ақпандағы № 129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(Нормативтік құқықтық актілерді мемлекеттік тіркеу тізілімінде № 26958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тармағы</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деңгейдегі банктер немесе "Қазпошта" акционерлік қоғамы бөлімшелері арқылы алушылардың дербес шоттарына аудару жолымен жүзеге асырылады.".</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