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e389" w14:textId="b07e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2014 жылғы 23 желтоқсандағы № 29-6 "Тасқала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2023 жылғы 2 маусымдағы № 5-4 шешімі. Батыс Қазақстан облысының Әділет департаментінде 2023 жылғы 8 маусымда № 7188-07 болып тіркелді</w:t>
      </w:r>
    </w:p>
    <w:p>
      <w:pPr>
        <w:spacing w:after="0"/>
        <w:ind w:left="0"/>
        <w:jc w:val="both"/>
      </w:pPr>
      <w:bookmarkStart w:name="z3" w:id="0"/>
      <w:r>
        <w:rPr>
          <w:rFonts w:ascii="Times New Roman"/>
          <w:b w:val="false"/>
          <w:i w:val="false"/>
          <w:color w:val="000000"/>
          <w:sz w:val="28"/>
        </w:rPr>
        <w:t xml:space="preserve">
      Тасқала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"Тасқала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2014 жылғы 23 желтоқсандағы № 29-6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3740 болып тіркелген) келесі өзгерістер мен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"Тасқала ауданында жеке оқыту жоспары бойынша мүгедектігі бар балалар қатарындағы кемтар балаларды үйде оқытуға жұмсаған шығындарды өтеу тәртібін және мөлшерін айқындау туралы";</w:t>
      </w:r>
    </w:p>
    <w:bookmarkEnd w:id="3"/>
    <w:bookmarkStart w:name="z7"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"1. Осы шешімнің қосымшасына сәйкес Тасқала ауданында жеке оқыту жоспары бойынша мүгедектігі бар балалар қатарындағы кемтар балаларды үйде оқытуға жұмсаған шығындарды өтеу тәртібі және мөлшері айқындалсын.";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алынып тасталсын;</w:t>
      </w:r>
    </w:p>
    <w:bookmarkStart w:name="z10" w:id="6"/>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4" w:id="8"/>
    <w:p>
      <w:pPr>
        <w:spacing w:after="0"/>
        <w:ind w:left="0"/>
        <w:jc w:val="left"/>
      </w:pPr>
      <w:r>
        <w:rPr>
          <w:rFonts w:ascii="Times New Roman"/>
          <w:b/>
          <w:i w:val="false"/>
          <w:color w:val="000000"/>
        </w:rPr>
        <w:t xml:space="preserve"> Тасқала ауданында жеке оқыту жоспары бойынша мүгедектігі бар балалар қатарындағы кемтар балаларды үйде оқытуға жұмсаған шығындарды өтеу тәртібі және мөлшері</w:t>
      </w:r>
    </w:p>
    <w:bookmarkEnd w:id="8"/>
    <w:bookmarkStart w:name="z15" w:id="9"/>
    <w:p>
      <w:pPr>
        <w:spacing w:after="0"/>
        <w:ind w:left="0"/>
        <w:jc w:val="both"/>
      </w:pPr>
      <w:r>
        <w:rPr>
          <w:rFonts w:ascii="Times New Roman"/>
          <w:b w:val="false"/>
          <w:i w:val="false"/>
          <w:color w:val="000000"/>
          <w:sz w:val="28"/>
        </w:rPr>
        <w:t xml:space="preserve">
      1. Осы Тасқала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16" w:id="10"/>
    <w:p>
      <w:pPr>
        <w:spacing w:after="0"/>
        <w:ind w:left="0"/>
        <w:jc w:val="both"/>
      </w:pPr>
      <w:r>
        <w:rPr>
          <w:rFonts w:ascii="Times New Roman"/>
          <w:b w:val="false"/>
          <w:i w:val="false"/>
          <w:color w:val="000000"/>
          <w:sz w:val="28"/>
        </w:rPr>
        <w:t>
      2. Жеке оқыту жоспары бойынша мүгедектігі бар балалар қатарындағы кемтар балаларды үйде оқытуға жұмсалған шығындарды өтеуді (бұдан әрі-оқытуға жұмсалған шығындарды өтеу) мүгедектігі бар баланың үйде оқу фактісін растайтын оқу орнының анықтамасы негізінде "Тасқала аудандық жұмыспен қамту және әлеуметтік бағдарламалар бөлімі" мемлекеттік мекемесі жүргізеді.</w:t>
      </w:r>
    </w:p>
    <w:bookmarkEnd w:id="10"/>
    <w:bookmarkStart w:name="z17" w:id="11"/>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18" w:id="12"/>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19" w:id="13"/>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0" w:id="14"/>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14"/>
    <w:bookmarkStart w:name="z21" w:id="15"/>
    <w:p>
      <w:pPr>
        <w:spacing w:after="0"/>
        <w:ind w:left="0"/>
        <w:jc w:val="both"/>
      </w:pPr>
      <w:r>
        <w:rPr>
          <w:rFonts w:ascii="Times New Roman"/>
          <w:b w:val="false"/>
          <w:i w:val="false"/>
          <w:color w:val="000000"/>
          <w:sz w:val="28"/>
        </w:rPr>
        <w:t>
      7. Оқытуға жұмсалған шығындарды өтеу мөлшері оқу жылы ішінде ай сайын әрбір мүгедектігі бар балаға үш айлық есептік көрсеткішке тең.</w:t>
      </w:r>
    </w:p>
    <w:bookmarkEnd w:id="15"/>
    <w:bookmarkStart w:name="z22" w:id="16"/>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