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f373" w14:textId="e7bf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26 қаңтардағы № 28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22 ақпандағы № 65 бұйрығы. Қазақстан Республикасының Әділет министрлігінде 2024 жылғы 23 ақпанда № 34047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26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Объектінің терроризмге қарсы қорғалу паспорты (бұдан әрі –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сәйкес бір мезгілде электрондық нұсқаны әзірлей отырып, үш данада жасалады.".</w:t>
      </w:r>
    </w:p>
    <w:bookmarkStart w:name="z8" w:id="2"/>
    <w:p>
      <w:pPr>
        <w:spacing w:after="0"/>
        <w:ind w:left="0"/>
        <w:jc w:val="both"/>
      </w:pPr>
      <w:r>
        <w:rPr>
          <w:rFonts w:ascii="Times New Roman"/>
          <w:b w:val="false"/>
          <w:i w:val="false"/>
          <w:color w:val="000000"/>
          <w:sz w:val="28"/>
        </w:rPr>
        <w:t>
      2. Қазақстан Республикасы Төтенше жағдайлар министрлігінің Мемлекеттік материалдық резервтер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