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c26d" w14:textId="71ec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2024 жылғы 12 наурыздағы № 11-1-4/101 бұйрығы. Қазақстан Республикасының Әділет министрлігінде 2024 жылғы 13 наурызда № 34143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14926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"Өкілдік шығындар" бөлінетін бюджеттік бағдарламасын бөлу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қосымшада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реттік нөмірі 2 - 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Қазақстан Республикасы Парламенті палаталары төрағаларының, Қазақстан Республикасы Мемлекеттік кеңесшісінің, Қазақстан Республикасы Премьер-Министрі орынбасарының, Қазақстан Республикасы Сыртқы істер министрінің және Қауіпсіздік Кеңесі Хатшысының қатысуымен өтетін Қазақстан Республикасының Мемлекеттік Протоколында көзделген қабылдаулар өткізу (таңғы ас, түскі ас, кешкі ас) шығындары күніне бір адамға арналған есеп бойынша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АЕК-ке дейін</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 Сыртқы істер министрлігінің Валюта–қаржы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Сыртқы істер министрлігінің Заң қызметі департаментіне ұсынылуын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Аппарат басшысына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Василенко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