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6b90" w14:textId="ef56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 (жол учаскесін) Көкшетау – Петропавл ақылы негізде пайдалану туралы" Қазақстан Республикасы Көлік министрінің 2023 жылғы 21 қыркүйектегі № 8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12 сәуірдегі № 138 бұйрығы. Қазақстан Республикасының Әділет министрлігінде 2024 жылғы 15 сәуірде № 34259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маңызы бар жалпыға ортақ пайдаланылатын автомобиль жолын (жол учаскесін) Көкшетау – Петропавл ақылы негізде пайдалану туралы" Қазақстан Республикасы Көлік министрінің 2023 жылғы 21 қыркүйектегі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 Қазақстан Республикасы Көлік министрлігінің интернет-ресурсында орналастыруды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12 сәуірдегі</w:t>
            </w:r>
            <w:r>
              <w:br/>
            </w:r>
            <w:r>
              <w:rPr>
                <w:rFonts w:ascii="Times New Roman"/>
                <w:b w:val="false"/>
                <w:i w:val="false"/>
                <w:color w:val="000000"/>
                <w:sz w:val="20"/>
              </w:rPr>
              <w:t>№ 138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2023 жылғы 21 қыркүйектегі</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bl>
    <w:bookmarkStart w:name="z12" w:id="5"/>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5"/>
    <w:bookmarkStart w:name="z13" w:id="6"/>
    <w:p>
      <w:pPr>
        <w:spacing w:after="0"/>
        <w:ind w:left="0"/>
        <w:jc w:val="both"/>
      </w:pPr>
      <w:r>
        <w:rPr>
          <w:rFonts w:ascii="Times New Roman"/>
          <w:b w:val="false"/>
          <w:i w:val="false"/>
          <w:color w:val="000000"/>
          <w:sz w:val="28"/>
        </w:rPr>
        <w:t>
      I-б, ІІ санатты "Астана – Петропавл, Көкшетау" арқылы республикалық маңызы бар жалпыға ортақ пайдаланылатын автомобиль жолының Көкшетау – Петропавл 304+000 – км – 473+000 км учаскесі:</w:t>
      </w:r>
    </w:p>
    <w:bookmarkEnd w:id="6"/>
    <w:p>
      <w:pPr>
        <w:spacing w:after="0"/>
        <w:ind w:left="0"/>
        <w:jc w:val="both"/>
      </w:pPr>
      <w:r>
        <w:rPr>
          <w:rFonts w:ascii="Times New Roman"/>
          <w:b w:val="false"/>
          <w:i w:val="false"/>
          <w:color w:val="000000"/>
          <w:sz w:val="28"/>
        </w:rPr>
        <w:t>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т-ға дейін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т-ға дейін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автопойыздардың жүк көтергіштігі 10 т-ға дейінгі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т-дан 15 т-ға дейінгі жүк автомобильдері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т-дан жоғары, оның ішінде тіркелгіш, ершікті тартқыштары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304 – 309</w:t>
            </w:r>
          </w:p>
          <w:p>
            <w:pPr>
              <w:spacing w:after="20"/>
              <w:ind w:left="20"/>
              <w:jc w:val="both"/>
            </w:pPr>
            <w:r>
              <w:rPr>
                <w:rFonts w:ascii="Times New Roman"/>
                <w:b w:val="false"/>
                <w:i w:val="false"/>
                <w:color w:val="000000"/>
                <w:sz w:val="20"/>
              </w:rPr>
              <w:t>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309 – 354</w:t>
            </w:r>
          </w:p>
          <w:p>
            <w:pPr>
              <w:spacing w:after="20"/>
              <w:ind w:left="20"/>
              <w:jc w:val="both"/>
            </w:pPr>
            <w:r>
              <w:rPr>
                <w:rFonts w:ascii="Times New Roman"/>
                <w:b w:val="false"/>
                <w:i w:val="false"/>
                <w:color w:val="000000"/>
                <w:sz w:val="20"/>
              </w:rPr>
              <w:t>
(45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354 – 443</w:t>
            </w:r>
          </w:p>
          <w:p>
            <w:pPr>
              <w:spacing w:after="20"/>
              <w:ind w:left="20"/>
              <w:jc w:val="both"/>
            </w:pPr>
            <w:r>
              <w:rPr>
                <w:rFonts w:ascii="Times New Roman"/>
                <w:b w:val="false"/>
                <w:i w:val="false"/>
                <w:color w:val="000000"/>
                <w:sz w:val="20"/>
              </w:rPr>
              <w:t>
(89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443 – 473</w:t>
            </w:r>
          </w:p>
          <w:p>
            <w:pPr>
              <w:spacing w:after="20"/>
              <w:ind w:left="20"/>
              <w:jc w:val="both"/>
            </w:pPr>
            <w:r>
              <w:rPr>
                <w:rFonts w:ascii="Times New Roman"/>
                <w:b w:val="false"/>
                <w:i w:val="false"/>
                <w:color w:val="000000"/>
                <w:sz w:val="20"/>
              </w:rPr>
              <w:t>
(30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w:t>
            </w:r>
          </w:p>
          <w:p>
            <w:pPr>
              <w:spacing w:after="20"/>
              <w:ind w:left="20"/>
              <w:jc w:val="both"/>
            </w:pPr>
            <w:r>
              <w:rPr>
                <w:rFonts w:ascii="Times New Roman"/>
                <w:b w:val="false"/>
                <w:i w:val="false"/>
                <w:color w:val="000000"/>
                <w:sz w:val="20"/>
              </w:rPr>
              <w:t>
(169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bookmarkStart w:name="z14" w:id="7"/>
    <w:p>
      <w:pPr>
        <w:spacing w:after="0"/>
        <w:ind w:left="0"/>
        <w:jc w:val="both"/>
      </w:pPr>
      <w:r>
        <w:rPr>
          <w:rFonts w:ascii="Times New Roman"/>
          <w:b w:val="false"/>
          <w:i w:val="false"/>
          <w:color w:val="000000"/>
          <w:sz w:val="28"/>
        </w:rPr>
        <w:t xml:space="preserve">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 </w:t>
      </w:r>
    </w:p>
    <w:bookmarkEnd w:id="7"/>
    <w:bookmarkStart w:name="z15" w:id="8"/>
    <w:p>
      <w:pPr>
        <w:spacing w:after="0"/>
        <w:ind w:left="0"/>
        <w:jc w:val="both"/>
      </w:pPr>
      <w:r>
        <w:rPr>
          <w:rFonts w:ascii="Times New Roman"/>
          <w:b w:val="false"/>
          <w:i w:val="false"/>
          <w:color w:val="000000"/>
          <w:sz w:val="28"/>
        </w:rPr>
        <w:t xml:space="preserve">
      2) абоненттік төлем жергілікті көлік үшін көлік құралының түріне және жүк көтергіштігіне қарай белгіленеді. </w:t>
      </w:r>
    </w:p>
    <w:bookmarkEnd w:id="8"/>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bookmarkStart w:name="z16"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9"/>
    <w:bookmarkStart w:name="z18" w:id="10"/>
    <w:p>
      <w:pPr>
        <w:spacing w:after="0"/>
        <w:ind w:left="0"/>
        <w:jc w:val="both"/>
      </w:pPr>
      <w:r>
        <w:rPr>
          <w:rFonts w:ascii="Times New Roman"/>
          <w:b w:val="false"/>
          <w:i w:val="false"/>
          <w:color w:val="000000"/>
          <w:sz w:val="28"/>
        </w:rPr>
        <w:t>
      4) алдын 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10"/>
    <w:bookmarkStart w:name="z19" w:id="11"/>
    <w:p>
      <w:pPr>
        <w:spacing w:after="0"/>
        <w:ind w:left="0"/>
        <w:jc w:val="both"/>
      </w:pPr>
      <w:r>
        <w:rPr>
          <w:rFonts w:ascii="Times New Roman"/>
          <w:b w:val="false"/>
          <w:i w:val="false"/>
          <w:color w:val="000000"/>
          <w:sz w:val="28"/>
        </w:rPr>
        <w:t>
      5) жергілікті 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11"/>
    <w:bookmarkStart w:name="z20" w:id="12"/>
    <w:p>
      <w:pPr>
        <w:spacing w:after="0"/>
        <w:ind w:left="0"/>
        <w:jc w:val="both"/>
      </w:pPr>
      <w:r>
        <w:rPr>
          <w:rFonts w:ascii="Times New Roman"/>
          <w:b w:val="false"/>
          <w:i w:val="false"/>
          <w:color w:val="000000"/>
          <w:sz w:val="28"/>
        </w:rPr>
        <w:t xml:space="preserve">
      Аббревиатуралардың толық жазылуы: </w:t>
      </w:r>
    </w:p>
    <w:bookmarkEnd w:id="12"/>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т – тонна.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