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d92b" w14:textId="98dd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туралы" Қазақстан Республикасы Қорғаныс министрінің 2015 жылғы 11 маусымдағы № 333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16 сәуірдегі № 374 бұйрығы. Қазақстан Республикасының Әділет министрлігінде 2024 жылғы 18 сәуірде № 34269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туралы" Қазақстан Республикасы Қорғаныс министрінің 2015 жылғы 11 маусымдағы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министрлігі Кадрлар департаментінің бастығына жүктелсін.";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қызметшілерге ондағы қызметі жыл сайынғы негізгі демалысқа қосымша 10 тәулік демалыс беру құқығын беретін жергілікті жерлердің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Абай облысында – Абай, Аягөз, Бесқарағай, Жарма, Жаңасемей, Мақаншы, Үржар аудандарында, Семей, Курчатов қалаларында, оның ішінде Қазақстан Республикасының ұлттық қауіпсіздік органдары үшін – Бородулиха ауданында.";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Алматы облысында – Балқаш, Еңбекшіқазақ, Жамбыл, Іле, Қарасай, Кеген, Райымбек, Талғар, Ұйғыр аудандарында, Алатау қаласында, оның ішінде Қазақстан Республикасы Ұлттық ұланының бөлімшелері үшін – Алматы қаласы Медеу ауданының Алатау кентінде, Қазақстан Республикасының ұлттық қауіпсіздік органдары үшін – Алматы қаласының Бостандық ауданында.";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Шығыс Қазақстан облысында – Зайсан, Қатон-Қарағай, Күршім, Марқакөл, Үлкен Нарын, Тарбағатай аудандарында, оның ішінде Қазақстан Республикасы Ұлттық ұланының бөлімшелері үшін – Шемонаиха ауданында, Қазақстан Республикасының ұлттық қауіпсіздік органдары үшін – Алтай, Глубоковское, Шемонаиха аудандарында, Риддер қаласында.";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қауіпсіздік органдарында және Мемлекеттік күзет қызметінде қызмет өткеретін әскери қызметшілер үшін жыл сайынғы демалыс ұзақтығы "Қазақстан Республикасының арнаулы мемлекеттік органдары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ерекшеліктерді ескере отырып есептеледі.".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Қорғаныс министрлігінің интернет-ресурсына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министрлігі Кадрлар департаментінің бастығына жүктелсін.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