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adc8" w14:textId="91ba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 Төрағасының 2018 жылғы 21 қыркүйектегі № 1 "Өлім-жітім көрсеткіштерін есептеу әдістемесін бекіту туралы"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23 сәуірдегі № 3 бұйрығы. Қазақстан Республикасының Әділет министрлігінде 2024 жылғы 23 сәуірде № 34292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"Өлім-жітім көрсеткіштерін есептеу әдістемесін бекіту туралы" Қазақстан Республикасы Ұлттық экономика министрлігі Статистика комитеті төрағасының 2018 жылғы 21қыркүйектегі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17555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Start w:name="z6" w:id="1"/>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өлім-жітім көрсеткіштерін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пен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Өлім-жітім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w:t>
      </w:r>
      <w:r>
        <w:rPr>
          <w:rFonts w:ascii="Times New Roman"/>
          <w:b w:val="false"/>
          <w:i w:val="false"/>
          <w:color w:val="000000"/>
          <w:sz w:val="28"/>
        </w:rPr>
        <w:t xml:space="preserve"> Қазақстан Республикасы Стратегиялық жоспарлау және реформалар агенттігінің Ұлттық статистика бюросы және оның аумақтық бөлімшілері өлім-жітім көрсеткіштерін есептеу кезінде қолданады.";</w:t>
      </w:r>
    </w:p>
    <w:bookmarkStart w:name="z11" w:id="2"/>
    <w:p>
      <w:pPr>
        <w:spacing w:after="0"/>
        <w:ind w:left="0"/>
        <w:jc w:val="both"/>
      </w:pPr>
      <w:r>
        <w:rPr>
          <w:rFonts w:ascii="Times New Roman"/>
          <w:b w:val="false"/>
          <w:i w:val="false"/>
          <w:color w:val="000000"/>
          <w:sz w:val="28"/>
        </w:rPr>
        <w:t>
      мынадай мазмұндағы 4-1-тармақпен толықтырылсын:</w:t>
      </w:r>
    </w:p>
    <w:bookmarkEnd w:id="2"/>
    <w:bookmarkStart w:name="z12" w:id="3"/>
    <w:p>
      <w:pPr>
        <w:spacing w:after="0"/>
        <w:ind w:left="0"/>
        <w:jc w:val="both"/>
      </w:pPr>
      <w:r>
        <w:rPr>
          <w:rFonts w:ascii="Times New Roman"/>
          <w:b w:val="false"/>
          <w:i w:val="false"/>
          <w:color w:val="000000"/>
          <w:sz w:val="28"/>
        </w:rPr>
        <w:t>
      "4-1. 14 және одан үлкен жастағы халықтың өлім-жітімі туралы статистикалық ақпаратты қалыптастыру қайтыс болған адамның тұрақты тұрғылықты жері бойынша жүргізіледі. 14 жасқа толмаған адамдардың (жас балалардың) немесе қорғаншылықта болған азаматтардың өлім-жітімі туралы статистикалық ақпаратты қалыптастыру олардың заңды өкілдерінің тұрақты тұрғылықты жері бойынша жүргізіледі. Күнтізбелік жыл кезеңіндегі өлім-жітім туралы статистикалық ақпарат қайтыс болуды тіркеу күні бойынша қалыптастырылады. Соңғы халық санағынан кейін орын алған, бірақ есепті жылы тіркелген өлім оқиғалары есепті жылдың статистикасында есепке алынады.";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Әдістемеде</w:t>
      </w:r>
      <w:r>
        <w:rPr>
          <w:rFonts w:ascii="Times New Roman"/>
          <w:b w:val="false"/>
          <w:i w:val="false"/>
          <w:color w:val="000000"/>
          <w:sz w:val="28"/>
        </w:rPr>
        <w:t xml:space="preserve"> келесі ұғымдар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"6. Халықтың өлім-жітімі туралы ақпарат көздері азаматтық хал актілерін тіркеу органдарының әкімшілік деректері болып табылады.".</w:t>
      </w:r>
    </w:p>
    <w:bookmarkEnd w:id="4"/>
    <w:bookmarkStart w:name="z17" w:id="5"/>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Халық статистикасы департаменті Заң департаментімен бірлесіп заңнамада белгіленген тәртіппен:</w:t>
      </w:r>
    </w:p>
    <w:bookmarkEnd w:id="5"/>
    <w:bookmarkStart w:name="z1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9" w:id="7"/>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20"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Халық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басшылыққа және жұмыста пайдалану үшін жеткізсін.</w:t>
      </w:r>
    </w:p>
    <w:bookmarkEnd w:id="8"/>
    <w:p>
      <w:pPr>
        <w:spacing w:after="0"/>
        <w:ind w:left="0"/>
        <w:jc w:val="both"/>
      </w:pPr>
      <w:r>
        <w:rPr>
          <w:rFonts w:ascii="Times New Roman"/>
          <w:b w:val="false"/>
          <w:i w:val="false"/>
          <w:color w:val="000000"/>
          <w:sz w:val="28"/>
        </w:rPr>
        <w:t xml:space="preserve">
      бұйрықтың 4-тармағы мынадай редакцияда жазылсын: </w:t>
      </w:r>
    </w:p>
    <w:bookmarkStart w:name="z21" w:id="9"/>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9"/>
    <w:bookmarkStart w:name="z2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