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694d" w14:textId="5be6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жүйесінің тәуекел дәрежесін бағалау өлшемшарттарын және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27 мамырдағы № 121 және Қазақстан Республикасы Премьер-Министрінің орынбасары - Ұлттық экономика министрінің 2024 жылғы 28 мамырдағы № 26 бірлескен бұйрығы. Қазақстан Республикасының Әділет министрлігінде 2024 жылы 31 мамырда № 34430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жүйесінің тәуекел дәрежесін бағалау өлшемшарттарын және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 құқықтық актілерді мемлекеттік тіркеу тізілімінде № 12777 болып тіркелді)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 бағалау және тәуекелдерді басқару </w:t>
      </w:r>
      <w:r>
        <w:rPr>
          <w:rFonts w:ascii="Times New Roman"/>
          <w:b w:val="false"/>
          <w:i w:val="false"/>
          <w:color w:val="000000"/>
          <w:sz w:val="28"/>
        </w:rPr>
        <w:t>өлшемшарттарына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Мектепке дейінгі тәрбие мен оқытудың білім беретін оқу бағдарламаларын іске асыратын білім беру ұйымдарының бақылау субъектілерінің (объектілерінің) талаптарын бұзу </w:t>
      </w:r>
      <w:r>
        <w:rPr>
          <w:rFonts w:ascii="Times New Roman"/>
          <w:b w:val="false"/>
          <w:i w:val="false"/>
          <w:color w:val="000000"/>
          <w:sz w:val="28"/>
        </w:rPr>
        <w:t>дәрежесіне</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мынадай мазмұндағы реттік нөмірі 35-жолмен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 бойынша топтарды жасақтау кезінде жас кезеңділігін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Бастауыш, негізгі орта, жалпы орта білім берудің білім беретін оқу бағдарламаларын іске асыратын білім беру ұйымдарының бақылау субъектілерінің (объектілерінің) біліктілік талаптарын бұзу </w:t>
      </w:r>
      <w:r>
        <w:rPr>
          <w:rFonts w:ascii="Times New Roman"/>
          <w:b w:val="false"/>
          <w:i w:val="false"/>
          <w:color w:val="000000"/>
          <w:sz w:val="28"/>
        </w:rPr>
        <w:t>дәрежесіне</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реттік нөмірлері 5, 6, 7, 8, 9 және 10-жолдар жаңа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бар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лицензиат негізгі жұмыс орны болып табылатын педагогтерінің жалпы санынан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педагогтердің жалпы санынан педагог-сарапшылардың, педагог-зерттеушілердің, педагог-шеберлердің үлесі:</w:t>
            </w:r>
          </w:p>
          <w:p>
            <w:pPr>
              <w:spacing w:after="20"/>
              <w:ind w:left="20"/>
              <w:jc w:val="both"/>
            </w:pPr>
            <w:r>
              <w:rPr>
                <w:rFonts w:ascii="Times New Roman"/>
                <w:b w:val="false"/>
                <w:i w:val="false"/>
                <w:color w:val="000000"/>
                <w:sz w:val="20"/>
              </w:rPr>
              <w:t>
1) бастауыш білім беру деңгейінде шағын жинақталған және арнайы мектептер үшін кемінде 20%; жалпы білім беретін мектептер үшін кемінде 25%;</w:t>
            </w:r>
          </w:p>
          <w:p>
            <w:pPr>
              <w:spacing w:after="20"/>
              <w:ind w:left="20"/>
              <w:jc w:val="both"/>
            </w:pPr>
            <w:r>
              <w:rPr>
                <w:rFonts w:ascii="Times New Roman"/>
                <w:b w:val="false"/>
                <w:i w:val="false"/>
                <w:color w:val="000000"/>
                <w:sz w:val="20"/>
              </w:rPr>
              <w:t>
2) негізгі орта және жалпы орта білім беру деңгейінде шағын жинақталған және арнайы мектептер үшін кемінде 25%; жалпы білім беретін мектептер, мектеп-гимназиялар, мектеп-лицейлер үшін кемінде 35%; лицейлер үшін кемінде 40%, оның ішінде жаратылыстану-математикалық бағыттағы педагогтердің үлесі кемінде 30%; гимназиялар үшін кемінде 40%, оның ішінде қоғамдық-гуманитарлық бағыттағы педагогтердің үлесі кемінде 30%; дарынды тұлғаларға арналған мамандандырылған білім беру ұйымдары үшін кемінде 45%,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педагог лауазымдарының біліктілік сипаттамалары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стандартына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 қалыптастыру, пайдалану және сақтау жөніндегі қағидаларға және білім беру саласындағы уәкілетті орган айқындаған оқулықтар мен оқу-әдістемелік кешендер тізбесіне сәйкес оқу және көркем әдебиет кітапханалық қорының болуы. Болжалды білім алушылар контингентіне арналған оқу жұмыс жоспарына сәйкес бір оқушыға арналған оқулықтар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айқындаған санитариялық қағидаларға сәйкес халықтың санитариялық-эпидемиологиялық саламаттылығы саласындағы уәкілетті органның санитариялық-эпидемиологиялық қорытындысы негізінде ғимараттарда (оқу корпустарында) білім алушылар үшін тамақтану объектісінің болуы. Білім алушыларды тамақпен қамтамасыз 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денсаулық сақтау саласындағы уәкілетті орган айқындаған санитариялық қағидаларға, сәулет, қала құрылысы және құрылыс саласындағы мемлекеттік нормативтеріне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p>
            <w:pPr>
              <w:spacing w:after="20"/>
              <w:ind w:left="20"/>
              <w:jc w:val="both"/>
            </w:pPr>
            <w:r>
              <w:rPr>
                <w:rFonts w:ascii="Times New Roman"/>
                <w:b w:val="false"/>
                <w:i w:val="false"/>
                <w:color w:val="000000"/>
                <w:sz w:val="20"/>
              </w:rPr>
              <w:t>
Спорт залының және/немесе спорт объектісінің білім беру ұйымы ғимаратынан 1000 метрден астам қашықтықта, сондай-ақ автокөлік жолдарының, теміржол жолдарының қиылысын қамтитын жерде болуын қоспағанда, объектіге санитариялық-эпидемиологиялық қорытындының көшірмесі болған жағдайда спорт залын және/ немесе спорт объектісін жалға алуға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оқу пәндік кабинеттермен, зертханалармен (шағын жинақталған мектептер, арнайы мектептер, оқу-сауықтыру орталықтары жанындағы мектептер үшін физика, химия, биология пәндері бойынша ұсынылатын оқу-зертханалық жабдықтардың болуы жеткілікті), спорт залдарымен жабдықталуы; edu.​kz аймағында үшінші деңгейдегі домендік атаудың болуы; жабдықтар мен жиһаздардың болуы; жеке пайдалануға арналған жабдықталған шкафтардың болуы; денсаулық сақтау саласындағы уәкілетті орган айқындаған санитариялық қағидалардың талаптарына сәйкес ауыз су режимін ұйымдастыру; ғимаратта денсаулық сақтау саласындағы уәкілетті орган айқындаған санитариялық қағидаларға сәйкес келетін санитариялық тораптардың (унитаздардың, қол жуатын раковиналардың) болуы;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Білім беру ұйымдары үшін білім беру ұйымының үй-жайларында және (немесе) іргелес аумақтарында бейнебақылаудың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ұйымдарының бақылау субъектілерінің (объектілерінің) біліктілік талаптарын бұзу </w:t>
      </w:r>
      <w:r>
        <w:rPr>
          <w:rFonts w:ascii="Times New Roman"/>
          <w:b w:val="false"/>
          <w:i w:val="false"/>
          <w:color w:val="000000"/>
          <w:sz w:val="28"/>
        </w:rPr>
        <w:t>дәрежелеріне</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реттік нөмірлері 8, 9, 10, 11, 12 және 13-жолдар жаңа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Медициналық және фармацевтикалық мамандықтар үшін денсаулық сақтау саласындағы техникалық және кәсіптік білім берудің мемлекеттік жалпыға міндетті стандартына,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бағдарламасының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Негізгі жұмыс орны лицензият болып табылатын педагогтер мен өндірістік оқыту шеберлерінің үлесі даярланатын мамандық бойынша педагогтердің жалпы санынан кемінде 70%,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w:t>
            </w:r>
          </w:p>
          <w:p>
            <w:pPr>
              <w:spacing w:after="20"/>
              <w:ind w:left="20"/>
              <w:jc w:val="both"/>
            </w:pPr>
            <w:r>
              <w:rPr>
                <w:rFonts w:ascii="Times New Roman"/>
                <w:b w:val="false"/>
                <w:i w:val="false"/>
                <w:color w:val="000000"/>
                <w:sz w:val="20"/>
              </w:rPr>
              <w:t>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негізгі жұмыс орны лицензиат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30%, орта білімнен кейінгі білім беру ұйымдарында - кемінде 40%.</w:t>
            </w:r>
          </w:p>
          <w:p>
            <w:pPr>
              <w:spacing w:after="20"/>
              <w:ind w:left="20"/>
              <w:jc w:val="both"/>
            </w:pPr>
            <w:r>
              <w:rPr>
                <w:rFonts w:ascii="Times New Roman"/>
                <w:b w:val="false"/>
                <w:i w:val="false"/>
                <w:color w:val="000000"/>
                <w:sz w:val="20"/>
              </w:rPr>
              <w:t>
Даярланатын мамандық бойынша негізгі жұмыс орны лицензият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50 %.</w:t>
            </w:r>
          </w:p>
          <w:p>
            <w:pPr>
              <w:spacing w:after="20"/>
              <w:ind w:left="20"/>
              <w:jc w:val="both"/>
            </w:pPr>
            <w:r>
              <w:rPr>
                <w:rFonts w:ascii="Times New Roman"/>
                <w:b w:val="false"/>
                <w:i w:val="false"/>
                <w:color w:val="000000"/>
                <w:sz w:val="20"/>
              </w:rPr>
              <w:t>
Орта білімнен кейінгі білім беру ұйымдарында даярланатын мамандық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техникалық және кәсіптік білім беру ұйымдарын жабдықтармен және жиһазбен жарақтандыру нормаларына сәйкес оқу-зертханалық жабдықтармен және техникалық оқыту құралдарымен, сондай–ақ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Денсаулық сақтау саласындағы білім беру ұйымдары үшін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меморандумдардың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кезеңін қамтитын даярланатын мамандық бойынша практика базасы ретінде айқындалған ұйымдармен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реттік нөмірі 18-жол жаңа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айқындаған қағидаларға сәйкес мұқтаж білім алушылардың тұруы үшін жағдай жасау (денсаулық сақтау саласындағы уәкілетті орган айқындаған Санитариялық қағидалардың талаптарына сәйкес жатақханалармен, және/немесе хостелдермен, және/немесе қонақ үйлермен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реттік нөмірі 19-жол жаңа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 беру мамандықтары мен біліктілігінің сыныптауышында көрсетілген білім беру саласында мамандарды даярлау үшін білім беру саласында кемінде 5 мамандық бойынша лицензияның және (немесе) лицензияға қосымшаның болуы.</w:t>
            </w:r>
          </w:p>
          <w:p>
            <w:pPr>
              <w:spacing w:after="20"/>
              <w:ind w:left="20"/>
              <w:jc w:val="both"/>
            </w:pPr>
            <w:r>
              <w:rPr>
                <w:rFonts w:ascii="Times New Roman"/>
                <w:b w:val="false"/>
                <w:i w:val="false"/>
                <w:color w:val="000000"/>
                <w:sz w:val="20"/>
              </w:rPr>
              <w:t>
Техникалық және кәсіптік, орта білімнен кейінгі білімнің мамандықтары мен біліктіліктерінің сыныптауышында көрсетілген денсаулық сақтау саласында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денсаулық сақтау саласында кемінде 4 мамандық бойынша лицензияның және (немесе)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реттік нөмірі 21-жол жаңа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 даярланатын мамандық бойынша білім алушыларды қабылдауды 3 жылда кемінде 1 рет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мынадай мазмұндағы реттік нөмірі 25-жолмен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бiлiм беру жүйесiн бастауыш, негізгі орта және жалпы орта білім беру бөлігінде бастауыш, негізгі орта және жалпы орта білім беру оқу бағдарламаларын іске асыратын білім беру ұйымдарына қатысты тексеру </w:t>
      </w:r>
      <w:r>
        <w:rPr>
          <w:rFonts w:ascii="Times New Roman"/>
          <w:b w:val="false"/>
          <w:i w:val="false"/>
          <w:color w:val="000000"/>
          <w:sz w:val="28"/>
        </w:rPr>
        <w:t>парағында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1-кіші бөлімінің Бастауыш білім берудің жалпы білім беретін оқу бағдарламаларын іске асыратын білім беру ұйымдарының қызметі үшін реттік нөмірлері 2, 3, 4, 5, 6, 7 және 8-жолдар жаңа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бар немесе педагогикалық қайта даярлаудан өткен кәсіптік білімі бар педагогтердің болуы. Шағын жинақталған мектептерді қоспағанда, лицензиат негізгі жұмыс орны болып табылатын педагогтерінің жалпы санынан үлесі кемінде 90% құрауы. Негізгі жұмыс орны лицензиат болып табылатын педагогтердің жалпы санынан педагог-сарапшылардың, педагог-зерттеушілердің, педагог-шеберлердің үлесі бастауыш білім беру деңгейінде шағын жинақталған және арнайы мектептер үшін кемінде 20 %; жалпы білім беретін мектептер үшін кемінде 25 %.</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педагог лауазымдарының біліктілік сипаттамалары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 қалыптастыру, пайдалану және сақтау жөніндегі қағидаларға және білім беру саласындағы уәкілетті орган айқындаған оқулықтар мен оқу-әдістемелік кешендер тізбесіне сәйкес оқу және көркем әдебиет кітапханалық қорының болуы. Болжалды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стандартына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айқындаған санитариялық қағидаларға сәйкес халықтың санитариялық-эпидемиологиялық саламаттылығы саласындағы уәкілетті органның санитариялық-эпидемиологиялық қорытындысы негізінде ғимараттарда (оқу корпустарында) білім алушылар үшін тамақтану объектісінің болуы.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денсаулық сақтау саласындағы уәкілетті орган айқындаған санитариялық қағидаларға, сәулет, қала құрылысы және құрылыс саласындағы мемлекеттік нормативтеріне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p>
            <w:pPr>
              <w:spacing w:after="20"/>
              <w:ind w:left="20"/>
              <w:jc w:val="both"/>
            </w:pPr>
            <w:r>
              <w:rPr>
                <w:rFonts w:ascii="Times New Roman"/>
                <w:b w:val="false"/>
                <w:i w:val="false"/>
                <w:color w:val="000000"/>
                <w:sz w:val="20"/>
              </w:rPr>
              <w:t>
Спорт залының және/немесе спорт объектісінің білім беру ұйымы ғимаратынан 1000 метрден астам қашықтықта, сондай-ақ автокөлік жолдарының, теміржол жолдарының қиылысын қамтитын жерде болуын қоспағанда, объектіге санитариялық-эпидемиологиялық қорытындының көшірмесі болған жағдайда спорт залын және/ немесе спорт объектісін жалға алуға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оқу кабинеттерімен, зертханалармен, спорт залдарымен жабдықталуы, edu. kz аймағында үшінші деңгейдегі домендік атаудың, жабдықтар мен жиһаздардың, жеке пайдалану үшін жабдықталған шкафтардың болуы; денсаулық сақтау саласындағы уәкілетті орган айқындаған санитариялық қағидалардың талаптарына сәйкес ауыз су режимін ұйымдастыру; ғимаратта денсаулық сақтау саласындағы уәкілетті орган айқындаған санитариялық қағидаларға сәйкес келетін санитариялық тораптардың (унитаздардың, қол жуатын раковиналардың) болуы;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Білім беру ұйымдары үшін білім беру ұйымының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2-кіші бөлімінің Негізгі және жалпы орта білім берудің жалпы білім беретін оқу бағдарламаларын іске асыратын білім беру ұйымдарының қызметі үшін реттік нөмірлері 2, 3, 4, 5, 6, 7 және 8-жолдар жаңа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бар немесе педагогикалық қайта даярлаудан өткен кәсіптік білімі бар педагогтердің болуы. Шағын жинақталған мектептерді қоспағанда, лицензиат негізгі жұмыс орны болып табылатын педагогтерінің жалпы санынан үлесі кемінде 90% құрауы. Негізгі жұмыс орны лицензиат болып табылатын педагогтердің жалпы санынан педагог-сарапшылардың, педагог-зерттеушілердің, педагог-шеберлердің үлесі негізгі орта және жалпы орта білім беру деңгейінде шағын жинақталған және арнайы мектептер үшін кемінде 25%; жалпы білім беретін мектептер, мектеп-гимназиялар, мектеп-лицейлер үшін кемінде 35%; лицейлер үшін кемінде 40%, оның ішінде жаратылыстану-математикалық бағыттағы педагогтердің үлесі кемінде 30%; гимназиялар үшін кемінде 40%, оның ішінде қоғамдық-гуманитарлық бағыттағы педагогтердің үлесі кемінде 30%; дарынды тұлғаларға арналған мамандандырылған білім беру ұйымдары үшін кемінде 45%,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педагог лауазымдарының біліктілік сипаттамалары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 қалыптастыру, пайдалану және сақтау жөніндегі қағидаларға және білім беру саласындағы уәкілетті орган айқындаған оқулықтар мен оқу-әдістемелік кешендер тізбесіне сәйкес оқу және көркем әдебиет кітапханалық қорының болуы. Болжалды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стандартына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айқындаған санитариялық қағидаларға сәйкес халықтың санитариялық-эпидемиологиялық саламаттылығы саласындағы уәкілетті органның санитариялық-эпидемиологиялық қорытындысы негізінде ғимараттарда (оқу корпустарында) білім алушылар үшін тамақтану объектісінің болуы.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денсаулық сақтау саласындағы уәкілетті орган айқындаған санитариялық қағидаларға, сәулет, қала құрылысы және құрылыс саласындағы мемлекеттік нормативтеріне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p>
            <w:pPr>
              <w:spacing w:after="20"/>
              <w:ind w:left="20"/>
              <w:jc w:val="both"/>
            </w:pPr>
            <w:r>
              <w:rPr>
                <w:rFonts w:ascii="Times New Roman"/>
                <w:b w:val="false"/>
                <w:i w:val="false"/>
                <w:color w:val="000000"/>
                <w:sz w:val="20"/>
              </w:rPr>
              <w:t>
Спорт залының және/немесе спорт объектісінің білім беру ұйымы ғимаратынан 1000 метрден астам қашықтықта, сондай-ақ автокөлік жолдарының, теміржол жолдарының қиылысын қамтитын жерде болуын қоспағанда, объектіге санитариялық-эпидемиологиялық қорытындының көшірмесі болған жағдайда спорт залын және/ немесе спорт объектісін жалға алуға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оқу пәндік кабинеттермен, зертханалармен (шағын жинақталған мектептер, арнайы мектептер, оқу-сауықтыру орталықтары жанындағы мектептер үшін физика, химия, биология пәндері бойынша ұсынылатын оқу-зертханалық жабдықтардың болуы жеткілікті), спорт залдарымен жарақтандырылуы; edu.​kz аймағында үшінші деңгейдегі домендік атаудың болуы; жабдықтар мен жиһаздардың болуы; жеке пайдалануға арналған жабдықталған шкафтардың болуы; денсаулық сақтау саласындағы уәкілетті орган айқындаған санитариялық қағидалардың талаптарына сәйкес ауыз су режимін ұйымдастыру; ғимаратта денсаулық сақтау саласындағы уәкілетті орган айқындаған санитариялық қағидаларға сәйкес келетін санитариялық тораптардың (унитаздардың, қол жуатын раковиналардың) болуы;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Білім беру ұйымдары үшін білім беру ұйымының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бұйрыпен бекітілген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бiлiм беру жүйесiн техникалық және кәсіптік, орта білімнен кейінгі білім беру бөлігінде техникалық және кәсіптік, орта білімнен кейінгі білім беру бағдарламаларын іске асыратын білім беру ұйымдарына қатысты тексеру </w:t>
      </w:r>
      <w:r>
        <w:rPr>
          <w:rFonts w:ascii="Times New Roman"/>
          <w:b w:val="false"/>
          <w:i w:val="false"/>
          <w:color w:val="000000"/>
          <w:sz w:val="28"/>
        </w:rPr>
        <w:t>парағында</w:t>
      </w:r>
      <w:r>
        <w:rPr>
          <w:rFonts w:ascii="Times New Roman"/>
          <w:b w:val="false"/>
          <w:i w:val="false"/>
          <w:color w:val="000000"/>
          <w:sz w:val="28"/>
        </w:rPr>
        <w:t>:</w:t>
      </w:r>
    </w:p>
    <w:bookmarkStart w:name="z19" w:id="11"/>
    <w:p>
      <w:pPr>
        <w:spacing w:after="0"/>
        <w:ind w:left="0"/>
        <w:jc w:val="both"/>
      </w:pPr>
      <w:r>
        <w:rPr>
          <w:rFonts w:ascii="Times New Roman"/>
          <w:b w:val="false"/>
          <w:i w:val="false"/>
          <w:color w:val="000000"/>
          <w:sz w:val="28"/>
        </w:rPr>
        <w:t>
      реттік нөмірлері 1, 2, 3, 4, 5 және 6-жолдар жаңа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Медициналық және фармацевтикалық мамандықтар үшін денсаулық сақтау саласындағы Техникалық және кәсіптік білім берудің мемлекеттік жалпыға міндетті стандартына,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бағдарламасының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Негізгі жұмыс орны лицензият болып табылатын педагогтер мен өндірістік оқыту шеберлерінің үлесі, даярланатын мамандық бойынша педагогтердің жалпы санынан кемінде 70%,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w:t>
            </w:r>
          </w:p>
          <w:p>
            <w:pPr>
              <w:spacing w:after="20"/>
              <w:ind w:left="20"/>
              <w:jc w:val="both"/>
            </w:pPr>
            <w:r>
              <w:rPr>
                <w:rFonts w:ascii="Times New Roman"/>
                <w:b w:val="false"/>
                <w:i w:val="false"/>
                <w:color w:val="000000"/>
                <w:sz w:val="20"/>
              </w:rPr>
              <w:t>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негізгі жұмыс орны лицензиат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30%, орта білімнен кейінгі білім беру ұйымдарында - кемінде 40%.</w:t>
            </w:r>
          </w:p>
          <w:p>
            <w:pPr>
              <w:spacing w:after="20"/>
              <w:ind w:left="20"/>
              <w:jc w:val="both"/>
            </w:pPr>
            <w:r>
              <w:rPr>
                <w:rFonts w:ascii="Times New Roman"/>
                <w:b w:val="false"/>
                <w:i w:val="false"/>
                <w:color w:val="000000"/>
                <w:sz w:val="20"/>
              </w:rPr>
              <w:t>
Даярланатын мамандық бойынша негізгі жұмыс орны лицензият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50 %.</w:t>
            </w:r>
          </w:p>
          <w:p>
            <w:pPr>
              <w:spacing w:after="20"/>
              <w:ind w:left="20"/>
              <w:jc w:val="both"/>
            </w:pPr>
            <w:r>
              <w:rPr>
                <w:rFonts w:ascii="Times New Roman"/>
                <w:b w:val="false"/>
                <w:i w:val="false"/>
                <w:color w:val="000000"/>
                <w:sz w:val="20"/>
              </w:rPr>
              <w:t>
Орта білімнен кейінгі білім беру ұйымдарында даярланатын мамандық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 кітапханалық қорының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техникалық және кәсіптік білім беру ұйымдарын жабдықтармен және жиһазбен жарақтандыру нормаларына сәйкес оқу-зертханалық жабдықтармен және техникалық оқыту құралдарымен, сондай–ақ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Денсаулық сақтау саласындағы білім беру ұйымының құрылымында симуляциялық кабинеттің (орталықтың) болуы.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реттік нөмірлері 12 және 13-жолдар жаңа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 беру мамандықтары мен біліктілігінің сыныптауышында көрсетілген білім беру саласында мамандарды даярлау үшін білім беру саласында кемінде 5 мамандық бойынша лицензияның және (немесе) лицензияға қосымшаның болуы.</w:t>
            </w:r>
          </w:p>
          <w:p>
            <w:pPr>
              <w:spacing w:after="20"/>
              <w:ind w:left="20"/>
              <w:jc w:val="both"/>
            </w:pPr>
            <w:r>
              <w:rPr>
                <w:rFonts w:ascii="Times New Roman"/>
                <w:b w:val="false"/>
                <w:i w:val="false"/>
                <w:color w:val="000000"/>
                <w:sz w:val="20"/>
              </w:rPr>
              <w:t>
Техникалық және кәсіптік, орта білімнен кейінгі білімнің мамандықтары мен біліктіліктерінің сыныптауышында көрсетілген денсаулық сақтау саласында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денсаулық сақтау саласында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21" w:id="13"/>
    <w:p>
      <w:pPr>
        <w:spacing w:after="0"/>
        <w:ind w:left="0"/>
        <w:jc w:val="both"/>
      </w:pPr>
      <w:r>
        <w:rPr>
          <w:rFonts w:ascii="Times New Roman"/>
          <w:b w:val="false"/>
          <w:i w:val="false"/>
          <w:color w:val="000000"/>
          <w:sz w:val="28"/>
        </w:rPr>
        <w:t>
      реттік нөмірі 15-жол жаңа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айқындаған қағидаларға сәйкес мұқтаж білім алушылардың тұруы үшін жағдайлар жасау (денсаулық сақтау саласындағы уәкілетті орган айқындаған Санитариялық қағидалардың талаптарына сәйкес жатақханалармен, және/немесе хостелдермен, және/немесе қонақ үйлермен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22" w:id="14"/>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 заңнамасында белгіленген тәртіппен:</w:t>
      </w:r>
    </w:p>
    <w:bookmarkEnd w:id="15"/>
    <w:bookmarkStart w:name="z24" w:id="1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6"/>
    <w:bookmarkStart w:name="z25" w:id="17"/>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Оқу-ағарту министрлігінің интернет-ресурсында орналастыруды;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7" w:id="1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Оқу-ағарту вице-министріне жүктелсін.</w:t>
      </w:r>
    </w:p>
    <w:bookmarkEnd w:id="18"/>
    <w:bookmarkStart w:name="z28" w:id="19"/>
    <w:p>
      <w:pPr>
        <w:spacing w:after="0"/>
        <w:ind w:left="0"/>
        <w:jc w:val="both"/>
      </w:pPr>
      <w:r>
        <w:rPr>
          <w:rFonts w:ascii="Times New Roman"/>
          <w:b w:val="false"/>
          <w:i w:val="false"/>
          <w:color w:val="000000"/>
          <w:sz w:val="28"/>
        </w:rPr>
        <w:t>
      4. Осы бірлескен бұйрық алғашқы ресми жарияланған күннен кейін алпыс күнтізбелік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оқу-ағарту </w:t>
            </w:r>
          </w:p>
          <w:p>
            <w:pPr>
              <w:spacing w:after="20"/>
              <w:ind w:left="20"/>
              <w:jc w:val="both"/>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