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ec4b" w14:textId="180e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Қандастарды қабылдау жөніндегі комиссияның үлгілік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31 мамырдағы № 174 бұйрығы. Қазақстан Республикасының Әділет министрлігінде 2024 жылғы 8 маусымда № 34463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Еңбек және халықты әлеуметтiк қорғау министрлiгінiң кейбiр мәселелерi туралы" Қазақстан Республикасы Үкіметінің 2017 жылғы 18 ақпандағы № 81 қаулысымен бекітілген Қазақстан Республикасы Еңбек және халықты әлеуметтік қорғау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114)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Қандастарды қабылдау жөніндегі комиссия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әлеуметтік қорғау министрлігінің Көші-қон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жұмыста басшылыққа алу үшін облыстардың және Астана, Алматы және Шымкент қалаларының әкімдіктерінің назарына жеткізуді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Қандастарды қабылдау жөніндегі комиссияның үлгілік ережесі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Қандастарды қабылдау жөніндегі комиссияның үлгілік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Еңбек және халықты әлеуметтiк қорғау министрлiгінiң кейбiр мәселелерi туралы" Қазақстан Республикасы Үкіметінің 2017 жылғы 18 ақпандағы № 81 қаулысымен бекітілген Қазақстан Республикасы Еңбек және халықты әлеуметтік қорғау министрлігі туралы ереженің 2-тарауы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қандастарды қабылдау жөніндегі комиссияның (бұдан әрі – Комиссия) міндеттері мен функцияларын айқындайды.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тиісті әкімшілік-аумақтық бірліктердің аумағында тұрақты жұмыс істейтін алқалы орган болып табылады.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Конституциясын, Заңдарын, Қазақстан Республикасының өзге де нормативтік құқықтық актілерін,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алады.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 қызметін ұйымдастыру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 құруды және оның қызметін ұйымдастыруды облыстың, республикалық маңызы бар қаланың, астананың жергілікті атқарушы органдары жүзеге асырады.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төрағадан, төрағаның орынбасарынан және Комиссия мүшелерінен тұрады. Оның жалпы құрамы кемінде 5 адамды құрайды. Хатшы Комиссия мүшесі болып табылмайды.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 тиісті әкімшілік-аумақтық бірліктің аумағындағы жергілікті атқарушы органның мүдделі мемлекеттік органдарының, мәслихаттар депутаттарының және қоғамдық ұйымдардың өкілдері қатарынан қалыптастырылады.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төрағасы оның қызметіне басшылық жасайды, комиссия отырыстарына төрағалық етеді, оның жұмысын жоспарлайды, оның шешімдерінің іске асырылуына жалпы бақылауды жүзеге асырады.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болмаған кезде оның функцияларын төрағаның орынбасары орындайды.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отырыстары мен хаттамаларды дайындауды Комиссия хатшысы жүзеге асырады.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міндеті мен функциялары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Комиссияның міндеті қандастарды қабылдаудың өңірлік квотасына енгізу туралы қандас мәртебесін алған этникалық қазақтар мен олардың отбасы мүшелерінің өтініштерін уақтылы және сапалы қарауды қамтамасыз ету болып табылады.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өзіне жүктелген міндетке сәйкес мынадай функцияларды орындайды: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қандастарды қабылдаудың өңірлік квотасына енгізу туралы өтініштер мен өтінішке қоса берілген құжаттарды қарайды және қандастарды қабылдаудың өңірлік квотасына енгізу немесе енгізуден бас тарту туралы ұсынымдар шығарады;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этникалық қазақтардың қандас мәртебесін беру туралы өтініштері мен өтінішке қоса берілген құжаттарды қарайды және өтініш берушіге қандас мәртебесін беруден бас тарту немесе қандас мәртебесін беру туралы ұсынымдар шығарады;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этникалық қазақтардың қандас мәртебесін ұзарту туралы өтініштері мен өтінішке қоса берілген құжаттарды қарайды және өтініш берушіге қандас мәртебесін ұзартудан бас тарту немесе қандас мәртебесін ұзарту туралы ұсынымдар шығарады.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Комиссияның төрағасы оның отырысын облыстардың, республикалық маңызы бар қалалардың және астананың жергілікті атқарушы органдары ұсынатын қандастар тізімін алған күннен бастап үш жұмыс күні ішінде шақырады.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Комиссияның ұсынымдары ашық дауыс беру арқылы, оның отырысына қатысып отырған Комиссия мүшелерінің жалпы санының көпшілік даусымен қабылданады. Дауыстар тең болған кезде Комиссия төрағасының дауысы шешуші дауыс болып табылады.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ұсынымдары оның құрамының жалпы санының үштен екісі болған кезде заңды болады.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Комиссияның ұсынымдары Комиссия отырысының хаттамасы түрінде ресімделеді және оған төраға, хатшы, қатысып отырған Комиссия мүшелері қол қояды.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 келіспеушіліктерін өздерінің ерекше пікірін жазбаша түрде баяндайды және оны Комиссия отырысының хаттамасына қоса береді.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