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1820" w14:textId="1ed1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маусымдағы № 29 бұйрығы. Қазақстан Республикасының Әділет министрлігінде 2024 жылғы 25 маусымда № 34567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қызметтердің (көмектің) сапасына ішкі және сыртқы сараптамаларды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"15) медициналық қызметтер көрсету ақауы (бұдан әрі – ақау) – стандарттарды сақтамаудан негізсіз ауытқудан көрінетін медициналық қызметтер (көмек) көрсету тәртібінің бұзылуы, емдеу нәтижесіне әсер еткен және егер бұл пациенттің денсаулығы үшін қолайсыз зардаптарға әкеп соқтырған медициналық қызметтер (көмек) көрсету тәртібінің бұзылуы, сондай-ақ медициналық қызмет көрсету және (немесе) көмек көрсетудің расталмаған жағдайының фактісі;";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"4. Сараптама жүргізу кезінде медициналық ұйымның қызметі және ұсынатын медициналық көмектің сапасы бейіні бойынша медициналық көмекті ұйымдастыру стандарттарына, медициналық көмек көрсету қағидаларына сәйкестігіне, ішкі және сыртқы индикаторлар көрсеткіштерінің мониторингі нәтижелерін қолдана отырып, негізсіз ауытқуларды анықтауға, оның ішінде талданатын кезеңдер бойынша индикаторлар өзгерістерінің динамикасын талдауды пайдалана отырып бағаланады.</w:t>
      </w:r>
    </w:p>
    <w:bookmarkEnd w:id="2"/>
    <w:bookmarkStart w:name="z10" w:id="3"/>
    <w:p>
      <w:pPr>
        <w:spacing w:after="0"/>
        <w:ind w:left="0"/>
        <w:jc w:val="both"/>
      </w:pPr>
      <w:r>
        <w:rPr>
          <w:rFonts w:ascii="Times New Roman"/>
          <w:b w:val="false"/>
          <w:i w:val="false"/>
          <w:color w:val="000000"/>
          <w:sz w:val="28"/>
        </w:rPr>
        <w:t>
      5. Клиникалық аудитті жүргізу кезінде сарапшы медициналық көмекті ұйымдастыру стандарттарына, медициналық көмек көрсету қағидаларына, диагностика мен емдеудің клиникалық хаттамаларына, нұсқаулықтарға, алгоритмдерге, медициналық ұйымдардың стандарттарына, ғылыми-дәлелді халықаралық деректерге негізделген дәлелді қорытынды қалыптастырады. Медициналық көмектің сапасының бұзылуымен анықталған ақаулар медициналық көмекті ұйымдастыру стандарттарына, медициналық көмек көрсету қағидаларына, диагностика мен емдеудің клиникалық хаттамаларына, медициналық ұйымдардың нұсқаулықтарына, алгоритмдеріне, стандарттарына, ғылыми-дәлелді халықаралық деректерге, дәлелді медицинаның танылған көздеріне сілтемелері бар логикалық тұжырымдармен расталады.</w:t>
      </w:r>
    </w:p>
    <w:bookmarkEnd w:id="3"/>
    <w:p>
      <w:pPr>
        <w:spacing w:after="0"/>
        <w:ind w:left="0"/>
        <w:jc w:val="both"/>
      </w:pPr>
      <w:r>
        <w:rPr>
          <w:rFonts w:ascii="Times New Roman"/>
          <w:b w:val="false"/>
          <w:i w:val="false"/>
          <w:color w:val="000000"/>
          <w:sz w:val="28"/>
        </w:rPr>
        <w:t>
      Медициналық карталарға сараптама жүргізу кезінде медициналық жазбалардың мынадай санаттары бағаланады:</w:t>
      </w:r>
    </w:p>
    <w:p>
      <w:pPr>
        <w:spacing w:after="0"/>
        <w:ind w:left="0"/>
        <w:jc w:val="both"/>
      </w:pPr>
      <w:r>
        <w:rPr>
          <w:rFonts w:ascii="Times New Roman"/>
          <w:b w:val="false"/>
          <w:i w:val="false"/>
          <w:color w:val="000000"/>
          <w:sz w:val="28"/>
        </w:rPr>
        <w:t>
      Шағымдарды жинау;</w:t>
      </w:r>
    </w:p>
    <w:p>
      <w:pPr>
        <w:spacing w:after="0"/>
        <w:ind w:left="0"/>
        <w:jc w:val="both"/>
      </w:pPr>
      <w:r>
        <w:rPr>
          <w:rFonts w:ascii="Times New Roman"/>
          <w:b w:val="false"/>
          <w:i w:val="false"/>
          <w:color w:val="000000"/>
          <w:sz w:val="28"/>
        </w:rPr>
        <w:t>
      Ауру тарихы;</w:t>
      </w:r>
    </w:p>
    <w:p>
      <w:pPr>
        <w:spacing w:after="0"/>
        <w:ind w:left="0"/>
        <w:jc w:val="both"/>
      </w:pPr>
      <w:r>
        <w:rPr>
          <w:rFonts w:ascii="Times New Roman"/>
          <w:b w:val="false"/>
          <w:i w:val="false"/>
          <w:color w:val="000000"/>
          <w:sz w:val="28"/>
        </w:rPr>
        <w:t>
      Өмір тарихы;</w:t>
      </w:r>
    </w:p>
    <w:p>
      <w:pPr>
        <w:spacing w:after="0"/>
        <w:ind w:left="0"/>
        <w:jc w:val="both"/>
      </w:pPr>
      <w:r>
        <w:rPr>
          <w:rFonts w:ascii="Times New Roman"/>
          <w:b w:val="false"/>
          <w:i w:val="false"/>
          <w:color w:val="000000"/>
          <w:sz w:val="28"/>
        </w:rPr>
        <w:t>
      Объективті мәртебе;</w:t>
      </w:r>
    </w:p>
    <w:p>
      <w:pPr>
        <w:spacing w:after="0"/>
        <w:ind w:left="0"/>
        <w:jc w:val="both"/>
      </w:pPr>
      <w:r>
        <w:rPr>
          <w:rFonts w:ascii="Times New Roman"/>
          <w:b w:val="false"/>
          <w:i w:val="false"/>
          <w:color w:val="000000"/>
          <w:sz w:val="28"/>
        </w:rPr>
        <w:t>
      Клиникалық диагноз;</w:t>
      </w:r>
    </w:p>
    <w:p>
      <w:pPr>
        <w:spacing w:after="0"/>
        <w:ind w:left="0"/>
        <w:jc w:val="both"/>
      </w:pPr>
      <w:r>
        <w:rPr>
          <w:rFonts w:ascii="Times New Roman"/>
          <w:b w:val="false"/>
          <w:i w:val="false"/>
          <w:color w:val="000000"/>
          <w:sz w:val="28"/>
        </w:rPr>
        <w:t>
      Диагностикалық зерттеулер;</w:t>
      </w:r>
    </w:p>
    <w:p>
      <w:pPr>
        <w:spacing w:after="0"/>
        <w:ind w:left="0"/>
        <w:jc w:val="both"/>
      </w:pPr>
      <w:r>
        <w:rPr>
          <w:rFonts w:ascii="Times New Roman"/>
          <w:b w:val="false"/>
          <w:i w:val="false"/>
          <w:color w:val="000000"/>
          <w:sz w:val="28"/>
        </w:rPr>
        <w:t>
      Емдеу шаралары;</w:t>
      </w:r>
    </w:p>
    <w:p>
      <w:pPr>
        <w:spacing w:after="0"/>
        <w:ind w:left="0"/>
        <w:jc w:val="both"/>
      </w:pPr>
      <w:r>
        <w:rPr>
          <w:rFonts w:ascii="Times New Roman"/>
          <w:b w:val="false"/>
          <w:i w:val="false"/>
          <w:color w:val="000000"/>
          <w:sz w:val="28"/>
        </w:rPr>
        <w:t>
      Эпикриз;</w:t>
      </w:r>
    </w:p>
    <w:p>
      <w:pPr>
        <w:spacing w:after="0"/>
        <w:ind w:left="0"/>
        <w:jc w:val="both"/>
      </w:pPr>
      <w:r>
        <w:rPr>
          <w:rFonts w:ascii="Times New Roman"/>
          <w:b w:val="false"/>
          <w:i w:val="false"/>
          <w:color w:val="000000"/>
          <w:sz w:val="28"/>
        </w:rPr>
        <w:t>
      Патологиялық диагноз.</w:t>
      </w:r>
    </w:p>
    <w:p>
      <w:pPr>
        <w:spacing w:after="0"/>
        <w:ind w:left="0"/>
        <w:jc w:val="both"/>
      </w:pPr>
      <w:r>
        <w:rPr>
          <w:rFonts w:ascii="Times New Roman"/>
          <w:b w:val="false"/>
          <w:i w:val="false"/>
          <w:color w:val="000000"/>
          <w:sz w:val="28"/>
        </w:rPr>
        <w:t>
      Осы санаттарды бағалау кезінде:</w:t>
      </w:r>
    </w:p>
    <w:p>
      <w:pPr>
        <w:spacing w:after="0"/>
        <w:ind w:left="0"/>
        <w:jc w:val="both"/>
      </w:pPr>
      <w:r>
        <w:rPr>
          <w:rFonts w:ascii="Times New Roman"/>
          <w:b w:val="false"/>
          <w:i w:val="false"/>
          <w:color w:val="000000"/>
          <w:sz w:val="28"/>
        </w:rPr>
        <w:t>
      Сипаттаманың клиникалық деректерге сәйкестігі.</w:t>
      </w:r>
    </w:p>
    <w:p>
      <w:pPr>
        <w:spacing w:after="0"/>
        <w:ind w:left="0"/>
        <w:jc w:val="both"/>
      </w:pPr>
      <w:r>
        <w:rPr>
          <w:rFonts w:ascii="Times New Roman"/>
          <w:b w:val="false"/>
          <w:i w:val="false"/>
          <w:color w:val="000000"/>
          <w:sz w:val="28"/>
        </w:rPr>
        <w:t>
      Диагноз қоюдың дұрыстығы, диагностикалық клиникалық тактиканы таңдау, сондай-ақ қабылданған шешімдердің тиімділігін бағалау диагностика мен емдеудің клиникалық хаттамаларына, медициналық көмек көрсету стандарттарына, медициналық көмек көрсету қағидаларына, ғылыми жарияланымдардың дәлелді деректеріне.</w:t>
      </w:r>
    </w:p>
    <w:p>
      <w:pPr>
        <w:spacing w:after="0"/>
        <w:ind w:left="0"/>
        <w:jc w:val="both"/>
      </w:pPr>
      <w:r>
        <w:rPr>
          <w:rFonts w:ascii="Times New Roman"/>
          <w:b w:val="false"/>
          <w:i w:val="false"/>
          <w:color w:val="000000"/>
          <w:sz w:val="28"/>
        </w:rPr>
        <w:t>
      Уақтылы диагноз қою, қатар жүретін аурулар мен асқынуларды тану.</w:t>
      </w:r>
    </w:p>
    <w:p>
      <w:pPr>
        <w:spacing w:after="0"/>
        <w:ind w:left="0"/>
        <w:jc w:val="both"/>
      </w:pPr>
      <w:r>
        <w:rPr>
          <w:rFonts w:ascii="Times New Roman"/>
          <w:b w:val="false"/>
          <w:i w:val="false"/>
          <w:color w:val="000000"/>
          <w:sz w:val="28"/>
        </w:rPr>
        <w:t>
      Уақтылы және толық кеңес беру, диагноз қою және одан әрі емдеу тактикасын әзірлеу кезінде бейінді маманның пікірін ескеру.</w:t>
      </w:r>
    </w:p>
    <w:p>
      <w:pPr>
        <w:spacing w:after="0"/>
        <w:ind w:left="0"/>
        <w:jc w:val="both"/>
      </w:pPr>
      <w:r>
        <w:rPr>
          <w:rFonts w:ascii="Times New Roman"/>
          <w:b w:val="false"/>
          <w:i w:val="false"/>
          <w:color w:val="000000"/>
          <w:sz w:val="28"/>
        </w:rPr>
        <w:t>
      Қажетті емдеуді уақтылы жүргізу.</w:t>
      </w:r>
    </w:p>
    <w:p>
      <w:pPr>
        <w:spacing w:after="0"/>
        <w:ind w:left="0"/>
        <w:jc w:val="both"/>
      </w:pPr>
      <w:r>
        <w:rPr>
          <w:rFonts w:ascii="Times New Roman"/>
          <w:b w:val="false"/>
          <w:i w:val="false"/>
          <w:color w:val="000000"/>
          <w:sz w:val="28"/>
        </w:rPr>
        <w:t>
      Медициналық араласудан кейінгі асқынулардың болмауы немесе дамуы, туындаған барлық асқынулар, оның ішінде хирургиялық араласуларға байланысты (кеш операция, жеткіліксіз көлем және техникалық ақаулар) және диагностикалық процедуралар бағаланады. Клиникалық хаттамаларда сипатталған және медициналық көмек көрсету ақауларының салдары болып табылмайтын осы ауру немесе емдеу үшін күтілетін асқынулар бөлек бөлінеді.</w:t>
      </w:r>
    </w:p>
    <w:p>
      <w:pPr>
        <w:spacing w:after="0"/>
        <w:ind w:left="0"/>
        <w:jc w:val="both"/>
      </w:pPr>
      <w:r>
        <w:rPr>
          <w:rFonts w:ascii="Times New Roman"/>
          <w:b w:val="false"/>
          <w:i w:val="false"/>
          <w:color w:val="000000"/>
          <w:sz w:val="28"/>
        </w:rPr>
        <w:t>
      Аурудың ағымының ерекшеліктеріне немесе ауырлығына, ауру ағымының ауырлығына, ғылыми білімнің және медициналық техниканың ағымдағы деңгейінің шектелуіне байланысты күтілетін клиникалық нәтиженің болмауы.</w:t>
      </w:r>
    </w:p>
    <w:p>
      <w:pPr>
        <w:spacing w:after="0"/>
        <w:ind w:left="0"/>
        <w:jc w:val="both"/>
      </w:pPr>
      <w:r>
        <w:rPr>
          <w:rFonts w:ascii="Times New Roman"/>
          <w:b w:val="false"/>
          <w:i w:val="false"/>
          <w:color w:val="000000"/>
          <w:sz w:val="28"/>
        </w:rPr>
        <w:t>
      Көрсетілген медициналық көмектің сапасына анықталған сәйкессіздіктердің әсерін бағалау кезінде сарапшы дәлелдермен логикалық қорытынды жасайды.</w:t>
      </w:r>
    </w:p>
    <w:bookmarkStart w:name="z11" w:id="4"/>
    <w:p>
      <w:pPr>
        <w:spacing w:after="0"/>
        <w:ind w:left="0"/>
        <w:jc w:val="both"/>
      </w:pPr>
      <w:r>
        <w:rPr>
          <w:rFonts w:ascii="Times New Roman"/>
          <w:b w:val="false"/>
          <w:i w:val="false"/>
          <w:color w:val="000000"/>
          <w:sz w:val="28"/>
        </w:rPr>
        <w:t>
      6. Көрсетілген медициналық қызметтердің (көмектің) сапасына сараптаманың нәтижелерін қорыту барысында көрсетілген медициналық көмектің Стандарттар талаптарына сәйкестігі (сәйкессіздігі) жөнінде тұжырымдар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"9. Көрсетілетін медициналық көмектің сапасын басқару, медициналық ұйымда сапа менеджменті мен стандарттауды ұйымдастыру, ішкі сараптаманы, оның ішінде клиникалық аудитті ұйымдастыру және жүргізу үшін меншік нысанына қарамастан медициналық ұйымда Пациентті қолдау және ішкі сараптама қызметі (бұдан әрі – Қызмет) құрылады.</w:t>
      </w:r>
    </w:p>
    <w:bookmarkEnd w:id="5"/>
    <w:p>
      <w:pPr>
        <w:spacing w:after="0"/>
        <w:ind w:left="0"/>
        <w:jc w:val="both"/>
      </w:pPr>
      <w:r>
        <w:rPr>
          <w:rFonts w:ascii="Times New Roman"/>
          <w:b w:val="false"/>
          <w:i w:val="false"/>
          <w:color w:val="000000"/>
          <w:sz w:val="28"/>
        </w:rPr>
        <w:t>
      Қызметті, бірінші басшыға тікелей бағынатын және медициналық ұйымның басшысы лауазымға тағайындайтын басшы басқарады, сондай-ақ медициналық ұйымның бірінші басшысының қалауы бойынша медициналық көмектің сапасы жөніндегі бірінші басшының орынбасары лауазымы бекітіледі.</w:t>
      </w:r>
    </w:p>
    <w:p>
      <w:pPr>
        <w:spacing w:after="0"/>
        <w:ind w:left="0"/>
        <w:jc w:val="both"/>
      </w:pPr>
      <w:r>
        <w:rPr>
          <w:rFonts w:ascii="Times New Roman"/>
          <w:b w:val="false"/>
          <w:i w:val="false"/>
          <w:color w:val="000000"/>
          <w:sz w:val="28"/>
        </w:rPr>
        <w:t>
      Қызмет құрылымы мен құрамын көрсетілетін медициналық қызметтердің көлемі, бейіні, стационарлық және стационарды алмастыратын көмек көрсететін ұйымдар үшін қуаты (төсек санын), амбулаториялық-емханалық көмек көрсететін ұйымдар үшін бекітілген халық санын ескере отырып медициналық ұйымның басшысы бекітеді.</w:t>
      </w:r>
    </w:p>
    <w:p>
      <w:pPr>
        <w:spacing w:after="0"/>
        <w:ind w:left="0"/>
        <w:jc w:val="both"/>
      </w:pPr>
      <w:r>
        <w:rPr>
          <w:rFonts w:ascii="Times New Roman"/>
          <w:b w:val="false"/>
          <w:i w:val="false"/>
          <w:color w:val="000000"/>
          <w:sz w:val="28"/>
        </w:rPr>
        <w:t>
      Денсаулық сақтау субъектісінде бекітілген халық болмаған жағдайда қызметтің құрылымы мен құрамы медицина қызметкерлерінің санын және (немесе) көрсетілетін медициналық қызметтердің көлемін ескере отырып бекітіледі.</w:t>
      </w:r>
    </w:p>
    <w:p>
      <w:pPr>
        <w:spacing w:after="0"/>
        <w:ind w:left="0"/>
        <w:jc w:val="both"/>
      </w:pPr>
      <w:r>
        <w:rPr>
          <w:rFonts w:ascii="Times New Roman"/>
          <w:b w:val="false"/>
          <w:i w:val="false"/>
          <w:color w:val="000000"/>
          <w:sz w:val="28"/>
        </w:rPr>
        <w:t>
      Штаттық құрылымы 5 бірліктен аспайтын денсаулық сақтау субъектілерінде Қызмет функциясы бірінші басшыға жүктеледі.";</w:t>
      </w:r>
    </w:p>
    <w:bookmarkStart w:name="z14"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15" w:id="7"/>
    <w:p>
      <w:pPr>
        <w:spacing w:after="0"/>
        <w:ind w:left="0"/>
        <w:jc w:val="both"/>
      </w:pPr>
      <w:r>
        <w:rPr>
          <w:rFonts w:ascii="Times New Roman"/>
          <w:b w:val="false"/>
          <w:i w:val="false"/>
          <w:color w:val="000000"/>
          <w:sz w:val="28"/>
        </w:rPr>
        <w:t>
      "9-1. Қызметте медициналық көмек көрсету стандарттары, медициналық көмек көрсету қағидасы мен медициналық ұйымның міндеттеріне байланысты дәрігер-сарапшылардың, денсаулық сақтау менеджерлерінің, қажет болған жағдайда әлеуметтік қызметкерлер мен психологтардың ставкалары көзделеді. Клиникалық аудит жүргізу үшін тәуелсіз тартылған консультанттар ретінде дәрігерлер, эпидемиолог-дәрігерлер, мейіргерлер, фармацевтер, клиникалық фармакологтар, экономистер және медициналық статистиктер, сондай-ақ ұйым қызметкерлері қатарынан да тартылады.</w:t>
      </w:r>
    </w:p>
    <w:bookmarkEnd w:id="7"/>
    <w:p>
      <w:pPr>
        <w:spacing w:after="0"/>
        <w:ind w:left="0"/>
        <w:jc w:val="both"/>
      </w:pPr>
      <w:r>
        <w:rPr>
          <w:rFonts w:ascii="Times New Roman"/>
          <w:b w:val="false"/>
          <w:i w:val="false"/>
          <w:color w:val="000000"/>
          <w:sz w:val="28"/>
        </w:rPr>
        <w:t>
      Қызмет медициналық көмектің сапа менеджментін және стандарттауын ұйымдастыру шеңберінде халықаралық және ұлттық аккредиттеу стандарттарын енгізу және қолдау бойынша медициналық ұйымның құрылымдық бөлімшелеріне әдіснамалық басшылық жүргізеді, осы стандарттардың талаптарына сәйкестігін өзін-өзі бағалайды, пациенттердің сапасы мен қауіпсіздігін үздіксіз арттыру жөніндегі бағдарламалардың тиімділігін енгізеді және бағалайды, сондай-ақ Қызметтің қызметкерлері медициналық қызметтердің сапасын сараптау мәселелері бойынша біліктілігін арттырудан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"11. Қызмет медициналық көмектің қолжетімділігі мен уақытылығы және медициналық көмек көрсету стандарттарын, медициналық көмек көрсету қағидасын сақтау бойынша ұсынымдарды орындау бөлігінде сыртқы сараптаманың қорытындылары бойынша тұрақты негізде жұмыс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Қызмет медициналық оқыс оқиғаның басталу фактілерін және сақтандыру жағдайларын есепке алу және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енгізіледі.</w:t>
      </w:r>
    </w:p>
    <w:p>
      <w:pPr>
        <w:spacing w:after="0"/>
        <w:ind w:left="0"/>
        <w:jc w:val="both"/>
      </w:pPr>
      <w:r>
        <w:rPr>
          <w:rFonts w:ascii="Times New Roman"/>
          <w:b w:val="false"/>
          <w:i w:val="false"/>
          <w:color w:val="000000"/>
          <w:sz w:val="28"/>
        </w:rPr>
        <w:t xml:space="preserve">
      Қызмет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21511 болып тіркелген) (бұдан әрі - № ҚР ДСМ-147/2020 бұйрығы) сәйкес медициналық оқыс оқиға жағдайларының есебін жүргізеді және оқиғаның әрбір жағдайы (оқиғасы) туралы анықтаманы (жиынтық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медициналық ұйымда медициналық көмек көрсету стандарттарына, медициналық көмек көрсету қағидаларына сәйкес бекітілген Ішкі индикаторлар, оның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индикаторларды (осы нақты бейінге қолдану мүмкіндігіне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3) тармақшамен толықтырылсын:</w:t>
      </w:r>
    </w:p>
    <w:bookmarkStart w:name="z23" w:id="9"/>
    <w:p>
      <w:pPr>
        <w:spacing w:after="0"/>
        <w:ind w:left="0"/>
        <w:jc w:val="both"/>
      </w:pPr>
      <w:r>
        <w:rPr>
          <w:rFonts w:ascii="Times New Roman"/>
          <w:b w:val="false"/>
          <w:i w:val="false"/>
          <w:color w:val="000000"/>
          <w:sz w:val="28"/>
        </w:rPr>
        <w:t>
      "3) денсаулық сақтаудың ақпараттық жүйелерінде халықтың сауалнамасын талдау.";</w:t>
      </w:r>
    </w:p>
    <w:bookmarkEnd w:id="9"/>
    <w:bookmarkStart w:name="z24" w:id="10"/>
    <w:p>
      <w:pPr>
        <w:spacing w:after="0"/>
        <w:ind w:left="0"/>
        <w:jc w:val="both"/>
      </w:pPr>
      <w:r>
        <w:rPr>
          <w:rFonts w:ascii="Times New Roman"/>
          <w:b w:val="false"/>
          <w:i w:val="false"/>
          <w:color w:val="000000"/>
          <w:sz w:val="28"/>
        </w:rPr>
        <w:t>
      мынадай мазмұндағы 19-1-тармақпен толықтырылсын:</w:t>
      </w:r>
    </w:p>
    <w:bookmarkEnd w:id="10"/>
    <w:bookmarkStart w:name="z25" w:id="11"/>
    <w:p>
      <w:pPr>
        <w:spacing w:after="0"/>
        <w:ind w:left="0"/>
        <w:jc w:val="both"/>
      </w:pPr>
      <w:r>
        <w:rPr>
          <w:rFonts w:ascii="Times New Roman"/>
          <w:b w:val="false"/>
          <w:i w:val="false"/>
          <w:color w:val="000000"/>
          <w:sz w:val="28"/>
        </w:rPr>
        <w:t>
      "19-1. Қызмет өтінішті қарау кезінде ұсынылған медициналық көмектің сапасы бойынша тәуелсіз сарапшыларды немесе бейінді мамандарды (қажет болған жағдайда) тарта отырып, бейіні бойынша медициналық көмек көрсетуді ұйымдастыру стандарттарының, медициналық көмек көрсету қағидаларының сәйкестігіне ішкі сараптама жүргізеді.</w:t>
      </w:r>
    </w:p>
    <w:bookmarkEnd w:id="11"/>
    <w:p>
      <w:pPr>
        <w:spacing w:after="0"/>
        <w:ind w:left="0"/>
        <w:jc w:val="both"/>
      </w:pPr>
      <w:r>
        <w:rPr>
          <w:rFonts w:ascii="Times New Roman"/>
          <w:b w:val="false"/>
          <w:i w:val="false"/>
          <w:color w:val="000000"/>
          <w:sz w:val="28"/>
        </w:rPr>
        <w:t>
      Қызмет медициналық қызметтерді (көмекті) талдау арқылы мынаны ескеріп ішкі сараптама жүргізеді:</w:t>
      </w:r>
    </w:p>
    <w:p>
      <w:pPr>
        <w:spacing w:after="0"/>
        <w:ind w:left="0"/>
        <w:jc w:val="both"/>
      </w:pPr>
      <w:r>
        <w:rPr>
          <w:rFonts w:ascii="Times New Roman"/>
          <w:b w:val="false"/>
          <w:i w:val="false"/>
          <w:color w:val="000000"/>
          <w:sz w:val="28"/>
        </w:rPr>
        <w:t>
      1) диагностикалық рәсімдер: осы оқиғаға әкелуі мүмкін ауруларды немесе жағдайларды анықтау үшін жүргізілген диагностикалық іс-шаралардағы уақтылы және күтпеген ауытқуларды талдау;</w:t>
      </w:r>
    </w:p>
    <w:p>
      <w:pPr>
        <w:spacing w:after="0"/>
        <w:ind w:left="0"/>
        <w:jc w:val="both"/>
      </w:pPr>
      <w:r>
        <w:rPr>
          <w:rFonts w:ascii="Times New Roman"/>
          <w:b w:val="false"/>
          <w:i w:val="false"/>
          <w:color w:val="000000"/>
          <w:sz w:val="28"/>
        </w:rPr>
        <w:t>
      2) емдеу іс-шаралары: емдеу іс-әрекеттерінің (дәрі-дәрмектік, операциялық, инвазивті) олардың таңдалуы мен орындалуының сәйкестігін, сондай-ақ науқасты жүргізу тактикасын талдау;</w:t>
      </w:r>
    </w:p>
    <w:p>
      <w:pPr>
        <w:spacing w:after="0"/>
        <w:ind w:left="0"/>
        <w:jc w:val="both"/>
      </w:pPr>
      <w:r>
        <w:rPr>
          <w:rFonts w:ascii="Times New Roman"/>
          <w:b w:val="false"/>
          <w:i w:val="false"/>
          <w:color w:val="000000"/>
          <w:sz w:val="28"/>
        </w:rPr>
        <w:t>
      3) профилактикалық шаралар: ықтимал асқынулардың немесе қайталанған жағдайлардың алдын алу үшін жүргізілген профилактикалық іс-қимылдарды бағалау;</w:t>
      </w:r>
    </w:p>
    <w:p>
      <w:pPr>
        <w:spacing w:after="0"/>
        <w:ind w:left="0"/>
        <w:jc w:val="both"/>
      </w:pPr>
      <w:r>
        <w:rPr>
          <w:rFonts w:ascii="Times New Roman"/>
          <w:b w:val="false"/>
          <w:i w:val="false"/>
          <w:color w:val="000000"/>
          <w:sz w:val="28"/>
        </w:rPr>
        <w:t>
      4) оңалту шаралары: функционалдық мүмкіндіктерді қалпына келтіру және оқиғадан кейін пациенттің өмір сүру сапасын жақсарту мақсатында жүргізілген оңалту іс-шараларының тиімділігі мен адекваттылығын талдау.</w:t>
      </w:r>
    </w:p>
    <w:p>
      <w:pPr>
        <w:spacing w:after="0"/>
        <w:ind w:left="0"/>
        <w:jc w:val="both"/>
      </w:pPr>
      <w:r>
        <w:rPr>
          <w:rFonts w:ascii="Times New Roman"/>
          <w:b w:val="false"/>
          <w:i w:val="false"/>
          <w:color w:val="000000"/>
          <w:sz w:val="28"/>
        </w:rPr>
        <w:t>
      Қызмет медициналық көмек көрсету кезінде медициналық қызметкердің бейіні бойынша медициналық көмек көрсетуді ұйымдастыру стандарттарын бұзғаны емделудің қолайсыз нәтижесіне, науқастың денсаулығы мен өміріне зиян келтіруге (өлімге және (немесе) мүгедектікке және (немесе) нашарлауға және (немесе) өзгеріссіз) әкеп соқтырғанын анықтаған жағдайда, пациенттің денсаулығы мен өміріне зиян келтіру туралы негіздер мен растайтын дәлелдер болған жағдайда, сақтандыру жағдайының белгілерін анықтағанда субъект басшысына осы өтінішті барлық материалдармен (медициналық құжаттама, фото-, бейнематериалдар, шарт, чектер және өтінішке қатысты басқа материалдар), сондай-ақ ақпараттық жүйелерден де, тәуелсіз сараптама комиссиясының отырысына жіберу туралы негіздемемен ұсынымдар береді.</w:t>
      </w:r>
    </w:p>
    <w:p>
      <w:pPr>
        <w:spacing w:after="0"/>
        <w:ind w:left="0"/>
        <w:jc w:val="both"/>
      </w:pPr>
      <w:r>
        <w:rPr>
          <w:rFonts w:ascii="Times New Roman"/>
          <w:b w:val="false"/>
          <w:i w:val="false"/>
          <w:color w:val="000000"/>
          <w:sz w:val="28"/>
        </w:rPr>
        <w:t>
      Өтінішті қарау және осы өтінішті тәуелсіз сараптама комиссиясының отырысына жіберу туралы денсаулық сақтау субъектісінің бірінші басшысына ұсыным беру мерзімі жиырма жұмыс күнінен аспайды.</w:t>
      </w:r>
    </w:p>
    <w:p>
      <w:pPr>
        <w:spacing w:after="0"/>
        <w:ind w:left="0"/>
        <w:jc w:val="both"/>
      </w:pPr>
      <w:r>
        <w:rPr>
          <w:rFonts w:ascii="Times New Roman"/>
          <w:b w:val="false"/>
          <w:i w:val="false"/>
          <w:color w:val="000000"/>
          <w:sz w:val="28"/>
        </w:rPr>
        <w:t xml:space="preserve">
      Қызмет медициналық көмек көрсету кезінде медициналық қызметкер тарапынан бейіні бойынша медициналық көмек көрсетуді ұйымдастыру стандарттарын бұзушылықтар болмаған жағдайда, бұл жағдайды медициналық оқыс оқиға ретінде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медициналық оқыс оқиғаның және сақтандыру жағдайларының басталу фактілерін есепке алудың бірыңғай тізіліміне тіркейді. Денсаулық сақтау субъектісінің басшысы мақұлдағаннан кейін Қызмет </w:t>
      </w:r>
      <w:r>
        <w:rPr>
          <w:rFonts w:ascii="Times New Roman"/>
          <w:b w:val="false"/>
          <w:i w:val="false"/>
          <w:color w:val="000000"/>
          <w:sz w:val="28"/>
        </w:rPr>
        <w:t>Кодекстің</w:t>
      </w:r>
      <w:r>
        <w:rPr>
          <w:rFonts w:ascii="Times New Roman"/>
          <w:b w:val="false"/>
          <w:i w:val="false"/>
          <w:color w:val="000000"/>
          <w:sz w:val="28"/>
        </w:rPr>
        <w:t xml:space="preserve"> 270-3 бабының 1-тармағына сәйкес 3 (үш) жұмыс күні ішінде денсаулық сақтау саласындағы уәкілетті орган айқындаған ұйымға медициналық оқыс оқиға жағдайлары (оқиғалары) туралы ақпаратты жібереді.</w:t>
      </w:r>
    </w:p>
    <w:p>
      <w:pPr>
        <w:spacing w:after="0"/>
        <w:ind w:left="0"/>
        <w:jc w:val="both"/>
      </w:pPr>
      <w:r>
        <w:rPr>
          <w:rFonts w:ascii="Times New Roman"/>
          <w:b w:val="false"/>
          <w:i w:val="false"/>
          <w:color w:val="000000"/>
          <w:sz w:val="28"/>
        </w:rPr>
        <w:t>
      Денсаулық сақтау субъектісінде Қызмет болмаған жағдайда, өтінішті денсаулық сақтау субъектісінің бірінші басшысы тәуелсіз сарапшыларды немесе бейінді мамандарды (қажет болған жағдайда) тарта отырып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"28. Мемлекеттік орган, облыстардың, республикалық маңызы бар қалалардың және астананың денсаулық сақтауды жергілікті мемлекеттік басқару органдары және әлеуметтік медициналық сақтандыру қоры медициналық қызметтердің (көмектің) сапасының сыртқы сараптамасын, оның ішінде денсаулық сақтау саласындағы тәуелсіз сарапшыларды тарта отырып жүргізеді.</w:t>
      </w:r>
    </w:p>
    <w:bookmarkEnd w:id="12"/>
    <w:p>
      <w:pPr>
        <w:spacing w:after="0"/>
        <w:ind w:left="0"/>
        <w:jc w:val="both"/>
      </w:pPr>
      <w:r>
        <w:rPr>
          <w:rFonts w:ascii="Times New Roman"/>
          <w:b w:val="false"/>
          <w:i w:val="false"/>
          <w:color w:val="000000"/>
          <w:sz w:val="28"/>
        </w:rPr>
        <w:t xml:space="preserve">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жағдайда,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конкурстық рәсімдер аяқталғанға дейінгі аралық уақытта, сондай-ақ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денсаулық сақтау саласындағы мамандықтар мен маманданулардың номенклатурасына сәйкес осы мамандық бойынша тәуелсіз сарапшы болмаған жағдайда медициналық көмек сапасын бағалау үшін:</w:t>
      </w:r>
    </w:p>
    <w:p>
      <w:pPr>
        <w:spacing w:after="0"/>
        <w:ind w:left="0"/>
        <w:jc w:val="both"/>
      </w:pPr>
      <w:r>
        <w:rPr>
          <w:rFonts w:ascii="Times New Roman"/>
          <w:b w:val="false"/>
          <w:i w:val="false"/>
          <w:color w:val="000000"/>
          <w:sz w:val="28"/>
        </w:rPr>
        <w:t>
      1) мемлекеттік органның;</w:t>
      </w:r>
    </w:p>
    <w:p>
      <w:pPr>
        <w:spacing w:after="0"/>
        <w:ind w:left="0"/>
        <w:jc w:val="both"/>
      </w:pPr>
      <w:r>
        <w:rPr>
          <w:rFonts w:ascii="Times New Roman"/>
          <w:b w:val="false"/>
          <w:i w:val="false"/>
          <w:color w:val="000000"/>
          <w:sz w:val="28"/>
        </w:rPr>
        <w:t>
      2) мемлекеттік органның аумақтық бөлімшесі;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жергілікті мемлекеттік басқару органдарының;</w:t>
      </w:r>
    </w:p>
    <w:p>
      <w:pPr>
        <w:spacing w:after="0"/>
        <w:ind w:left="0"/>
        <w:jc w:val="both"/>
      </w:pPr>
      <w:r>
        <w:rPr>
          <w:rFonts w:ascii="Times New Roman"/>
          <w:b w:val="false"/>
          <w:i w:val="false"/>
          <w:color w:val="000000"/>
          <w:sz w:val="28"/>
        </w:rPr>
        <w:t>
      4) әлеуметтік медициналық сақтандыру қоры шешімімен бейінді мамандар тартылады.</w:t>
      </w:r>
    </w:p>
    <w:p>
      <w:pPr>
        <w:spacing w:after="0"/>
        <w:ind w:left="0"/>
        <w:jc w:val="both"/>
      </w:pPr>
      <w:r>
        <w:rPr>
          <w:rFonts w:ascii="Times New Roman"/>
          <w:b w:val="false"/>
          <w:i w:val="false"/>
          <w:color w:val="000000"/>
          <w:sz w:val="28"/>
        </w:rPr>
        <w:t xml:space="preserve">
      Денсаулық сақтау саласындағы бейінді мамандар медициналық қызметтердің (көмектің) сапасының сыртқы сараптамасының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медициналық көмек көрсету стандарттарына, медициналық көмек көрсету қағидаларына, диагностика мен емдеудің клиникалық хаттамаларына, дәлелді тұжырымдарды қалыптастыру үшін ғылыми-дәлелді жарияланған деректерге сілтеме жасай отырып, медициналық қызметтер (көмек) көрсету сапасы бойынша тұжырымдары бар қорытындыны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Өлім, адамның денсаулығына, оның өміріне қауіпті немесе денсаулығына зиян: көру, сөйлеу, есту қабілетінен немесе қандай да бір ағзадан айырылуға; ағзаның өз функцияларын жоғалтуына; бет-әлпетінің қалпына келмейтіндей бұзылуына; еңбек қабілетінің тұрақты түрде жоғалту белгілеріне, жүктіліктің үзілуіне әкеп соққан денсаулыққа өзге де зиян жағдайларында медициналық көмек көрсетуді ұйымдастыру стандарттарының, медициналық көмек көрсету қағидаларының бұзылуы анықталған кезде мемлекеттік орган Қазақстан Республикасы Қылмыстық-процестік кодексінің </w:t>
      </w:r>
      <w:r>
        <w:rPr>
          <w:rFonts w:ascii="Times New Roman"/>
          <w:b w:val="false"/>
          <w:i w:val="false"/>
          <w:color w:val="000000"/>
          <w:sz w:val="28"/>
        </w:rPr>
        <w:t>179-бабына</w:t>
      </w:r>
      <w:r>
        <w:rPr>
          <w:rFonts w:ascii="Times New Roman"/>
          <w:b w:val="false"/>
          <w:i w:val="false"/>
          <w:color w:val="000000"/>
          <w:sz w:val="28"/>
        </w:rPr>
        <w:t xml:space="preserve"> сәйкес тексеру нәтижелері бойынша материалдарды процестік шешім қабылдау үшін ішкі істер органдарына жібереді.";</w:t>
      </w:r>
    </w:p>
    <w:bookmarkStart w:name="z30" w:id="1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3"/>
    <w:bookmarkStart w:name="z31"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14"/>
    <w:bookmarkStart w:name="z32" w:id="1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3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6"/>
    <w:bookmarkStart w:name="z35" w:id="17"/>
    <w:p>
      <w:pPr>
        <w:spacing w:after="0"/>
        <w:ind w:left="0"/>
        <w:jc w:val="both"/>
      </w:pPr>
      <w:r>
        <w:rPr>
          <w:rFonts w:ascii="Times New Roman"/>
          <w:b w:val="false"/>
          <w:i w:val="false"/>
          <w:color w:val="000000"/>
          <w:sz w:val="28"/>
        </w:rPr>
        <w:t>
      4. Осы бұйрық 2024 жылғы 23 қазаннан бастап қолданысқа енгізілетін 13 және 19-1-тармақтарын қоспағанда,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