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6d39" w14:textId="0ce6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2024 жылғы 25 маусымдағы № 157 бұйрығы. Қазақстан Республикасының Әділет министрлігінде 2024 жылғы 26 маусымда № 34585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01.01.2025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 және оларға сәйкестікті растайтын құжаттардың тізбесін бекіту туралы" Қазақстан Республикасы Оқу-ағарту министрінің 2022 жылғы 24 қарашадағы № 473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30721 болып тіркелді)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 тақырыбы</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"Бастауыш, негізгі орта, жалпы орта, техникалық және кәсіптік, орта білімнен кейінгі, діни білім беру, кәмелетке толмағандарға білім беру-сауықтыру қызметтері ұйымдарының білім беру қызметіне қойылатын біліктілік талаптарын және оларға сәйкестікті растайтын құжаттардың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Бастауыш, негізгі орта, жалпы орта, техникалық және кәсіптік, орта білімнен кейінгі, діни білім беру, кәмелетке толмағандарға білім беру-сауықтыру ұйымдарының білім беру қызметіне қойылатын біліктілік талаптары және оларға сәйкестікті растайтын құжаттардың тізбес бекітілсін.";</w:t>
      </w:r>
    </w:p>
    <w:bookmarkEnd w:id="3"/>
    <w:bookmarkStart w:name="z10" w:id="4"/>
    <w:p>
      <w:pPr>
        <w:spacing w:after="0"/>
        <w:ind w:left="0"/>
        <w:jc w:val="both"/>
      </w:pPr>
      <w:r>
        <w:rPr>
          <w:rFonts w:ascii="Times New Roman"/>
          <w:b w:val="false"/>
          <w:i w:val="false"/>
          <w:color w:val="000000"/>
          <w:sz w:val="28"/>
        </w:rPr>
        <w:t xml:space="preserve">
      бұйрыққа қойылатын біліктілік талаптарының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4"/>
    <w:bookmarkStart w:name="z11" w:id="5"/>
    <w:p>
      <w:pPr>
        <w:spacing w:after="0"/>
        <w:ind w:left="0"/>
        <w:jc w:val="both"/>
      </w:pPr>
      <w:r>
        <w:rPr>
          <w:rFonts w:ascii="Times New Roman"/>
          <w:b w:val="false"/>
          <w:i w:val="false"/>
          <w:color w:val="000000"/>
          <w:sz w:val="28"/>
        </w:rPr>
        <w:t>
      "Бастауыш, негізгі орта, жалпы орта, техникалық және кәсіптік, орта білімнен кейінгі, діни білім беру, кәмелетке толмағандарға білім беру-сауықтыру қызметтері ұйымдарының білім беру қызметіне қойылатын біліктілік талаптары және оларға сәйкестікті растайтын құжаттардың тізбесі";</w:t>
      </w:r>
    </w:p>
    <w:bookmarkEnd w:id="5"/>
    <w:bookmarkStart w:name="z12" w:id="6"/>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мынадай мазмұндағы реттік нөмірлері 62, 63, 64, 65, 66, 67, 68, 69, 70, 71, 72 - жолдармен толықтырылсын:</w:t>
      </w:r>
    </w:p>
    <w:bookmarkEnd w:id="7"/>
    <w:bookmarkStart w:name="z1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Кәмелетке толмағандарға білім беру-сауықтыру қызметтерін көрсететін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 500 бұйрықпен бекітілген үлгілік оқу жоспарларына және № 348 бұйрықпен бекітілген Бастауыш, негізгі орта,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Педагогтердің жалпы санынан негізгі жұмыс орны лицензиат болып табылатын педагогтердің үлесі педагогтердің жалпы санының кемінде 50%.</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Педагогтердің жалпы санынан негізгі жұмыс орны лицензиат болып табылатын педагог-сарапшылардың, педагог-зерттеушілердің, педагог-шеберлердің үлесі кемінде 25 %.</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№338 бұйрық талаптарына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балалардың санына қарай білім беру-сауықтыру орталығының (бұдан әрі – БСО) басшысы лауазымы мен оқу-тәрбие кешенінің (орталық жанындағы мектеп) директорының лауазымы біріктірілуі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№44 бұйрықпен бекітілген нормаларға және № 216 бұйрықпен бекітілген оқулықтар тізбесіне сәйкес оқу және көркем әдебиеттің кітапханалық қорының болуы.</w:t>
            </w:r>
          </w:p>
          <w:bookmarkEnd w:id="10"/>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w:t>
            </w:r>
          </w:p>
          <w:bookmarkEnd w:id="11"/>
          <w:p>
            <w:pPr>
              <w:spacing w:after="20"/>
              <w:ind w:left="20"/>
              <w:jc w:val="both"/>
            </w:pPr>
            <w:r>
              <w:rPr>
                <w:rFonts w:ascii="Times New Roman"/>
                <w:b w:val="false"/>
                <w:i w:val="false"/>
                <w:color w:val="000000"/>
                <w:sz w:val="20"/>
              </w:rPr>
              <w:t>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толмағандарға білім беру-сауықтыру қызметтерін көрсететін білім беру ұйымдары жеке кітапхана қоры болмаған жағдайда шарт/акт бойынша өзге білім беру ұйымы пайдалануға берген оқу және көркем әдебиетті пайдаланады.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 37 бұйрығына,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21381 болып тіркелген) (бұдан әрі - № ҚР ДСМ-116/2020 бұйрығы), "Медициналық және фармацевтикалық қызметке қойылатын біліктілік талаптарын бекіту туралы" Қазақстан Республикасы Денсаулық сақтау министрінің 2020 жылғы 22 қазандағы № ҚР ДСМ-148/2020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21502 болып тіркелген),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24094 болып тіркелген),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27833 болып тіркелген),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27218 болып тіркелген),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-96/2020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21080 болып тіркелген), "Балалардың сауықтыру және санаторий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м.а. 2022 жылғы 10 тамыздағы № ҚР ДСМ-78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29092 болып тіркелген) (бұдан әрі - № 78 бұйрығы), "Сауықтыру және ұйымдастырылған демалыс кезеңінде балаларға медициналық көмек көрсету қағидаларын бекіту туралы" Қазақстан Республикасы Денсаулық сақтау министрінің 2020 жылғы 20 желтоқсандағы № ҚР ДСМ-292/2020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21842 болып тіркелген),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21560 болып тіркелген) сәйкес балаларға медициналық қызмет көрсету құқығымен медициналық қызметке лицензияның болуы.</w:t>
            </w:r>
          </w:p>
          <w:bookmarkEnd w:id="12"/>
          <w:p>
            <w:pPr>
              <w:spacing w:after="20"/>
              <w:ind w:left="20"/>
              <w:jc w:val="both"/>
            </w:pPr>
            <w:r>
              <w:rPr>
                <w:rFonts w:ascii="Times New Roman"/>
                <w:b w:val="false"/>
                <w:i w:val="false"/>
                <w:color w:val="000000"/>
                <w:sz w:val="20"/>
              </w:rPr>
              <w:t xml:space="preserve">
"Медициналық оңалту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32263 болып тіркелген) сәйкес штаттық медицина қызметкерлерінің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ДСМ-302/2020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21857 болып тіркелген) талаптарын ескере отырып, № ҚР ДСМ-76 бұйрығы, № ҚР ДСМ-16 және № 78 бұйрығымен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осы біліктілік талаптарына</w:t>
            </w:r>
          </w:p>
          <w:p>
            <w:pPr>
              <w:spacing w:after="20"/>
              <w:ind w:left="20"/>
              <w:jc w:val="both"/>
            </w:pPr>
            <w:r>
              <w:rPr>
                <w:rFonts w:ascii="Times New Roman"/>
                <w:b w:val="false"/>
                <w:i w:val="false"/>
                <w:color w:val="000000"/>
                <w:sz w:val="20"/>
              </w:rPr>
              <w:t>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объектісінің болуына жол беріледі. Тамақтану объектісі жалға берілген жағдайда жалға алушының тамақтану объектісіне санитариялық-эпидемиологиялық қорытындысының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 ҚР ДСМ-76 бұйрығына, № ҚР ДСМ-78 бұйрығына, сәулет, қала құрылысы және құрылыс саласындағы мемлекеттік нормативтеріне және № 55 бұйрықпен бекітілген өрт қауіпсіздігі талаптарына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w:t>
            </w:r>
          </w:p>
          <w:bookmarkEnd w:id="15"/>
          <w:p>
            <w:pPr>
              <w:spacing w:after="20"/>
              <w:ind w:left="20"/>
              <w:jc w:val="both"/>
            </w:pPr>
            <w:r>
              <w:rPr>
                <w:rFonts w:ascii="Times New Roman"/>
                <w:b w:val="false"/>
                <w:i w:val="false"/>
                <w:color w:val="000000"/>
                <w:sz w:val="20"/>
              </w:rPr>
              <w:t xml:space="preserve">
№ ҚР ДСМ-78 бұйрығына сәйкес жабық жүзу бассейндерінің/ ванналардың/жағажайлардың, балалар ойын және спорт алаңдарының болуы, сондай-ақ Қазақстан Республикасы Оқу-ағарту министрінің м.а. 2023 жылғы 21 шiлдедегi "Мемлекеттік білім беру ұйымдары қызметкерлерінің үлгі штаттарын бекіту туралы" № 224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33166 болып тіркелді), №338 бұйрыққа сәйкес штатта жүзу бойынша емдік дене шынықтыру нұсқаушы-әдіскердің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5-қосымшаға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Әрбір ғимаратқа, санитариялық -эпидемиологиялық қорытындының көшірмесі.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өрт қауіпсіздігі саласындағы бақылау және қадағалау субъектісіне (объектісіне) барып тексеру немесе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Жаңадан ашылатын ұйымдары үшін – объектіні пайдалануға беру актісі, оның ішінде № 55 бұйрықтың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 өрт автоматикасы жүйелері мен қондырғыларын пайдалануға қабылдау актісінің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 70 бұйрықпен бекітілген нормаларға сәйкес келетін компьютерлік сыныптармен, Интернет желісіне қосылған компьютерлермен жабдықталуы;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348, № 385 және №500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беру-сауықтыру қызметтерін көрсететін білім беру ұйымдары үшін - 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edu. kz аймағында үшінші деңгейдегі домендік атаудың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70 бұйрықпен және №ҚР ДСМ-76 бұйрығымен бекітілген жабдықтар мен жиһаздардың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ДСМ-76 бұйрығымен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Ғимаратта № ҚР ДСМ-76-бұйрығына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Білім беру ұйымдары үшін № 117 бұйрығына сәйкес білім беру ұйымдарының үй-жайларында және (немесе) іргелес аумақтарында бейнебақылаудың және күзет қызметі субъектілерінің, дабыл түймесінің, өткізу режимінің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bookmarkEnd w:id="18"/>
          <w:p>
            <w:pPr>
              <w:spacing w:after="20"/>
              <w:ind w:left="20"/>
              <w:jc w:val="both"/>
            </w:pPr>
            <w:r>
              <w:rPr>
                <w:rFonts w:ascii="Times New Roman"/>
                <w:b w:val="false"/>
                <w:i w:val="false"/>
                <w:color w:val="000000"/>
                <w:sz w:val="20"/>
              </w:rPr>
              <w:t>
5,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біліктілігін арттыруды қамтамасыз ету 3 жылда кемінде 1 рет және 36 сағаттан кем болмауы тиіс.</w:t>
            </w:r>
          </w:p>
          <w:bookmarkEnd w:id="19"/>
          <w:p>
            <w:pPr>
              <w:spacing w:after="20"/>
              <w:ind w:left="20"/>
              <w:jc w:val="both"/>
            </w:pPr>
            <w:r>
              <w:rPr>
                <w:rFonts w:ascii="Times New Roman"/>
                <w:b w:val="false"/>
                <w:i w:val="false"/>
                <w:color w:val="000000"/>
                <w:sz w:val="20"/>
              </w:rPr>
              <w:t>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w:t>
            </w:r>
          </w:p>
          <w:bookmarkEnd w:id="20"/>
          <w:p>
            <w:pPr>
              <w:spacing w:after="20"/>
              <w:ind w:left="20"/>
              <w:jc w:val="both"/>
            </w:pPr>
            <w:r>
              <w:rPr>
                <w:rFonts w:ascii="Times New Roman"/>
                <w:b w:val="false"/>
                <w:i w:val="false"/>
                <w:color w:val="000000"/>
                <w:sz w:val="20"/>
              </w:rPr>
              <w:t>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Біліктілік талаптары жұмысқа орналастырылғаннан кейін үш жыл ішінде еңбек қызметін жүзеге асыратын педагогтерге қолданылмайды.</w:t>
            </w:r>
          </w:p>
          <w:bookmarkEnd w:id="2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bookmarkEnd w:id="22"/>
          <w:p>
            <w:pPr>
              <w:spacing w:after="20"/>
              <w:ind w:left="20"/>
              <w:jc w:val="both"/>
            </w:pPr>
            <w:r>
              <w:rPr>
                <w:rFonts w:ascii="Times New Roman"/>
                <w:b w:val="false"/>
                <w:i w:val="false"/>
                <w:color w:val="000000"/>
                <w:sz w:val="20"/>
              </w:rPr>
              <w:t>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ДСМ-№78 бұйрығына сәйкес балалар үшін тұру жағдайларының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қатты төсегі бар бір немесе екі қабатты кереуеттермен, кереует жанындағы тумбалармен, киімге арналған шкафтармен, унитаздармен, қол жуғыштармен, ванналармен, себезгі тұғырықтарымен жабдықталған душпен, бір жатын орынға (кемінде екі) төсек жабдығы жиынтығымен жабдықталғандығы туралы мәлімет көрсетілген тұрғын үй-жайлар паспортының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жарамды күйде ұсталады және мақсаты бойынша пайдаланылады. Үй-жайларды әрлеудегі ақаулар, зақымданулар, жиһаздың, қатты мүкәммалдың, жабдықтың, санитариялық-техникалық аспаптардың сынуы мен зақымдануы, сондай-ақ бүлінген және тозған жұмсақ мүкәммал жөндеуге немесе ауыстыруға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11550 тіркелді), Қазақстан Республикасының "Автомобиль көлiгi туралы" </w:t>
            </w:r>
            <w:r>
              <w:rPr>
                <w:rFonts w:ascii="Times New Roman"/>
                <w:b w:val="false"/>
                <w:i w:val="false"/>
                <w:color w:val="000000"/>
                <w:sz w:val="20"/>
              </w:rPr>
              <w:t>Заңына</w:t>
            </w:r>
            <w:r>
              <w:rPr>
                <w:rFonts w:ascii="Times New Roman"/>
                <w:b w:val="false"/>
                <w:i w:val="false"/>
                <w:color w:val="000000"/>
                <w:sz w:val="20"/>
              </w:rPr>
              <w:t xml:space="preserve"> сәйкес балаларды тасымалдауды жүзеге асыратын жүргізуші мен балаларды тасымалдауға арналған автокөліктің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xml:space="preserve">
Көлік құралдарын тіркеу туралы куәліктердің көшірмелері, </w:t>
            </w:r>
          </w:p>
          <w:bookmarkEnd w:id="23"/>
          <w:p>
            <w:pPr>
              <w:spacing w:after="20"/>
              <w:ind w:left="20"/>
              <w:jc w:val="both"/>
            </w:pPr>
            <w:r>
              <w:rPr>
                <w:rFonts w:ascii="Times New Roman"/>
                <w:b w:val="false"/>
                <w:i w:val="false"/>
                <w:color w:val="000000"/>
                <w:sz w:val="20"/>
              </w:rPr>
              <w:t>
жолаушыларды тасымалдау бойынша қызметтер көрсетуге арналған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ұйымдасқан топтарын тасымалдауға арналған автобустар сары түсті жыпылықтайтын шамшырақпен жабдықталуы тиіс, алдыңғы және артқы жағында "Балаларды тасымалдау" айырым белгілері бар, техникалық жай-күйі автомобиль көлігімен жолаушылар мен багажды тасымалдау қағидаларында белгіленген талаптарға сай келетін кемінде екі есігі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3" w:id="24"/>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24"/>
    <w:bookmarkStart w:name="z44"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45" w:id="2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26"/>
    <w:bookmarkStart w:name="z46" w:id="27"/>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7"/>
    <w:bookmarkStart w:name="z47" w:id="2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28"/>
    <w:bookmarkStart w:name="z48" w:id="29"/>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2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министірлігі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