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ba7b" w14:textId="570b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маусымдағы № 231 және Қазақстан Республикасы Ұлттық экономика министрінің м.а. 2024 жылғы 26 маусымдағы № 44 бірлескен бұйрығы. Қазақстан Республикасының Әділет министрлігінде 2024 жылы 27 маусымда № 34619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17818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23-31)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"18) осы бірлескен бұйрыққа 21-қосымшаға сәйкес сәулет, қала құрылысы және құрылыс саласындағы құрылыс жобаларына ведомстводан тыс кешенді сараптама жүргізетін заңды тұлғаларға қатысты талаптарға сәйкестігін тексеру парағы;";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тармақпен толықтырылсын:</w:t>
      </w:r>
    </w:p>
    <w:bookmarkStart w:name="z8" w:id="5"/>
    <w:p>
      <w:pPr>
        <w:spacing w:after="0"/>
        <w:ind w:left="0"/>
        <w:jc w:val="both"/>
      </w:pPr>
      <w:r>
        <w:rPr>
          <w:rFonts w:ascii="Times New Roman"/>
          <w:b w:val="false"/>
          <w:i w:val="false"/>
          <w:color w:val="000000"/>
          <w:sz w:val="28"/>
        </w:rPr>
        <w:t>
      "19) осы бірлескен бұйрыққа 22-қосымшаға сәйкес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 бекітілсін.";</w:t>
      </w:r>
    </w:p>
    <w:bookmarkEnd w:id="5"/>
    <w:bookmarkStart w:name="z9" w:id="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22-қосымшамен толықтырылсын.</w:t>
      </w:r>
    </w:p>
    <w:bookmarkEnd w:id="6"/>
    <w:bookmarkStart w:name="z10" w:id="7"/>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44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231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19 қарашадағы </w:t>
            </w:r>
            <w:r>
              <w:br/>
            </w:r>
            <w:r>
              <w:rPr>
                <w:rFonts w:ascii="Times New Roman"/>
                <w:b w:val="false"/>
                <w:i w:val="false"/>
                <w:color w:val="000000"/>
                <w:sz w:val="20"/>
              </w:rPr>
              <w:t>№ 807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26 қарашадағы </w:t>
            </w:r>
            <w:r>
              <w:br/>
            </w:r>
            <w:r>
              <w:rPr>
                <w:rFonts w:ascii="Times New Roman"/>
                <w:b w:val="false"/>
                <w:i w:val="false"/>
                <w:color w:val="000000"/>
                <w:sz w:val="20"/>
              </w:rPr>
              <w:t>№ 81 бірлескен бұйрығына</w:t>
            </w:r>
            <w:r>
              <w:br/>
            </w:r>
            <w:r>
              <w:rPr>
                <w:rFonts w:ascii="Times New Roman"/>
                <w:b w:val="false"/>
                <w:i w:val="false"/>
                <w:color w:val="000000"/>
                <w:sz w:val="20"/>
              </w:rPr>
              <w:t>22-қосымша</w:t>
            </w:r>
          </w:p>
        </w:tc>
      </w:tr>
    </w:tbl>
    <w:bookmarkStart w:name="z17" w:id="12"/>
    <w:p>
      <w:pPr>
        <w:spacing w:after="0"/>
        <w:ind w:left="0"/>
        <w:jc w:val="left"/>
      </w:pPr>
      <w:r>
        <w:rPr>
          <w:rFonts w:ascii="Times New Roman"/>
          <w:b/>
          <w:i w:val="false"/>
          <w:color w:val="000000"/>
        </w:rPr>
        <w:t xml:space="preserve"> Бұзылуы жедел ден қою шараларын қолдануға алып келетін талаптардың,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қойылатын талаптардың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ұйымға (бас жобалаушыға)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тұлғаларға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