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9339" w14:textId="7889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кедендік бақылау аймақтары, уақытша сақтау орындары және бажсыз сауда дүкендерінің кейбір мәселелері туралы" Қазақстан Республикасы Қаржы министрінің 2018 жылғы 23 ақпандағы № 280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11 шілдедегі № 432 бұйрығы. Қазақстан Республикасының Әділет министрлігінде 2024 жылғы 15 шілдеде № 34736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"Уақытша кедендік бақылау аймақтары, уақытша сақтау орындары және бажсыз сауда дүкендерінің кейбір мәселелері туралы" Қазақстан Республикасы Қаржы министрінің 2018 жылғы 23 ақпандағы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№16549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бұйрыққа 2-қосымшаға сәйкес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 (бұдан әрі – Талаптар) "Қазақстан Республикасындағы кедендік реттеу туралы" Қазақстан Республикасы Кодексінің (бұдан әрі – Кодекс) 502-бабының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509-бабының</w:t>
      </w:r>
      <w:r>
        <w:rPr>
          <w:rFonts w:ascii="Times New Roman"/>
          <w:b w:val="false"/>
          <w:i w:val="false"/>
          <w:color w:val="000000"/>
          <w:sz w:val="28"/>
        </w:rPr>
        <w:t xml:space="preserve"> 5-тармағына, 516-бабының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"2-тарау.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"2. Уақытша сақтау қоймасы, ашық және жабық типті кеден қоймасы, еркін қойма ретінде пайдалануға арналған немесе пайдаланылатын құрылысжайларды, үй-жайлар (үй-жайлардың бөліктерін) және (немесе) ашық алаңдар (бұдан әрі – Қоймалар):";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тоғызыншы абзацпен толықтырылсын:</w:t>
      </w:r>
    </w:p>
    <w:p>
      <w:pPr>
        <w:spacing w:after="0"/>
        <w:ind w:left="0"/>
        <w:jc w:val="both"/>
      </w:pPr>
      <w:r>
        <w:rPr>
          <w:rFonts w:ascii="Times New Roman"/>
          <w:b w:val="false"/>
          <w:i w:val="false"/>
          <w:color w:val="000000"/>
          <w:sz w:val="28"/>
        </w:rPr>
        <w:t>
      "Ашық типті кеден қоймасы аумағының (үй-жайының) бір бөлігі уақытша сақтау қоймасы ретінде пайдаланылған жағдайда, кеден қоймасының иесі уақытша сақтау қоймасына техникалық жарамды кіреберіс жолдарының болуын,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болуын қамтамасыз етеді.".</w:t>
      </w:r>
    </w:p>
    <w:bookmarkStart w:name="z10"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3"/>
    <w:bookmarkStart w:name="z13"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
    <w:bookmarkStart w:name="z14"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