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178b" w14:textId="e5e1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5 шiлдедегi № 41 қаулысы. Қазақстан Республикасының Әділет министрлігінде 2024 жылғы 16 шiлдеде № 34738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05.07.2024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тауарларды, жұмыстарды және көрсетілетін қызметтерді иеленуі қағидаларын бекіту туралы";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тауарларды, жұмыстарды және көрсетілетін қызметтерді иеленуі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тауарларды, жұмыстарды және көрсетілетін қызметтерді иеленуі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1" w:id="3"/>
    <w:p>
      <w:pPr>
        <w:spacing w:after="0"/>
        <w:ind w:left="0"/>
        <w:jc w:val="both"/>
      </w:pPr>
      <w:r>
        <w:rPr>
          <w:rFonts w:ascii="Times New Roman"/>
          <w:b w:val="false"/>
          <w:i w:val="false"/>
          <w:color w:val="000000"/>
          <w:sz w:val="28"/>
        </w:rPr>
        <w:t>
      "1. Осы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тауарларды, жұмыстарды және көрсетілетін қызметтерді иеленуі қағидалары (бұдан әрі - Қағидалар) Қазақстан Республикасы Ұлттық Банкінің (бұдан әрі - Ұлттық Банк), оның ведомстволарының, оның құрылымына кіретін ұйымдардың және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мыналарды:";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 </w:t>
      </w:r>
    </w:p>
    <w:bookmarkStart w:name="z14" w:id="4"/>
    <w:p>
      <w:pPr>
        <w:spacing w:after="0"/>
        <w:ind w:left="0"/>
        <w:jc w:val="both"/>
      </w:pPr>
      <w:r>
        <w:rPr>
          <w:rFonts w:ascii="Times New Roman"/>
          <w:b w:val="false"/>
          <w:i w:val="false"/>
          <w:color w:val="000000"/>
          <w:sz w:val="28"/>
        </w:rPr>
        <w:t>
      "18) тапсырыс беруші – бөлімшелері, филиалдары, өкілдіктері, ведомстволары арқылы Ұлттық Банк, сондай-ақ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 қаржы нарығы мен қаржы ұйымдарын реттеу, бақылау және қадағалау жөніндегі уәкiлеттi орган;";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 </w:t>
      </w:r>
    </w:p>
    <w:bookmarkStart w:name="z16" w:id="5"/>
    <w:p>
      <w:pPr>
        <w:spacing w:after="0"/>
        <w:ind w:left="0"/>
        <w:jc w:val="both"/>
      </w:pPr>
      <w:r>
        <w:rPr>
          <w:rFonts w:ascii="Times New Roman"/>
          <w:b w:val="false"/>
          <w:i w:val="false"/>
          <w:color w:val="000000"/>
          <w:sz w:val="28"/>
        </w:rPr>
        <w:t>
      "22) Ұлттық Банктің ұйымдары –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13-қосымша".</w:t>
            </w:r>
          </w:p>
        </w:tc>
      </w:tr>
    </w:tbl>
    <w:bookmarkStart w:name="z43" w:id="6"/>
    <w:p>
      <w:pPr>
        <w:spacing w:after="0"/>
        <w:ind w:left="0"/>
        <w:jc w:val="both"/>
      </w:pPr>
      <w:r>
        <w:rPr>
          <w:rFonts w:ascii="Times New Roman"/>
          <w:b w:val="false"/>
          <w:i w:val="false"/>
          <w:color w:val="000000"/>
          <w:sz w:val="28"/>
        </w:rPr>
        <w:t xml:space="preserve">
      2. Қазақстан Республикасы Ұлттық Банкінің Қаржы департаменті Қазақстан Республикасының заңнамасында белгіленген тәртіппен: </w:t>
      </w:r>
    </w:p>
    <w:bookmarkEnd w:id="6"/>
    <w:bookmarkStart w:name="z44" w:id="7"/>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7"/>
    <w:bookmarkStart w:name="z45" w:id="8"/>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7" w:id="9"/>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Ұлттық Банкі Төрағасының жетекшілік ететін орынбасарына жүктелсін. </w:t>
      </w:r>
    </w:p>
    <w:bookmarkEnd w:id="9"/>
    <w:bookmarkStart w:name="z48" w:id="10"/>
    <w:p>
      <w:pPr>
        <w:spacing w:after="0"/>
        <w:ind w:left="0"/>
        <w:jc w:val="both"/>
      </w:pPr>
      <w:r>
        <w:rPr>
          <w:rFonts w:ascii="Times New Roman"/>
          <w:b w:val="false"/>
          <w:i w:val="false"/>
          <w:color w:val="000000"/>
          <w:sz w:val="28"/>
        </w:rPr>
        <w:t>
      4. Осы қаулы 2024 жылғы 5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Басқармасы </w:t>
            </w: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