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2073" w14:textId="e652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беру графигін қалыптастыру қағидаларын бекіту туралы" Қазақстан Республикасы Энергетика министрінің 2018 жылғы 17 мамырдағы № 191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16 шiлдедегi № 254 бұйрығы. Қазақстан Республикасының Әділет министрлігінде 2024 жылғы 17 шiлдеде № 34751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"Мұнай беру графигін қалыптастыру қағидаларын бекіту туралы" Қазақстан Республикасы Энергетика министрінің 2018 жылғы 17 мамырдағы № 191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тізбесінде № 17072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Мұнай беру графигін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жасылсын:</w:t>
      </w:r>
    </w:p>
    <w:bookmarkStart w:name="z5" w:id="1"/>
    <w:p>
      <w:pPr>
        <w:spacing w:after="0"/>
        <w:ind w:left="0"/>
        <w:jc w:val="both"/>
      </w:pPr>
      <w:r>
        <w:rPr>
          <w:rFonts w:ascii="Times New Roman"/>
          <w:b w:val="false"/>
          <w:i w:val="false"/>
          <w:color w:val="000000"/>
          <w:sz w:val="28"/>
        </w:rPr>
        <w:t>
      "3. Мұнай беру графигі (бұдан әрі – График) жер қойнауын пайдаланушылардың өтінімдері (олар болған кезде), мұнайды қайта өңдеу және қайта өңдеу өнімдерінің жоспарлары мен мұнай тасымалдаушы ұйымдардың техникалық мүмкіндіктері, жер қойнауын пайдаланушылардың жобалау құжаттарында көзделген мұнай өндіру көлемі негізінде әзірленеді.";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жасылсын: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Графиктерді қалыптастыру үшін жер қойнауын пайдаланушылар көмірсутектер саласындағы уәкілетті органға (бұдан әрі – уәкілетті орган) есепті айдың алдындағы айдың бесіне дейін ай сайын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мұнай беру өтінімін (бұдан әрі – өтінім) электронды түрде "Қазақстан Республикасының жер қойнауын пайдалануды басқарудың бірыңғай мемлекеттік жүйесі" интеграцияланған ақпараттық жүйесі арқылы ұсынады.</w:t>
      </w:r>
    </w:p>
    <w:p>
      <w:pPr>
        <w:spacing w:after="0"/>
        <w:ind w:left="0"/>
        <w:jc w:val="both"/>
      </w:pPr>
      <w:r>
        <w:rPr>
          <w:rFonts w:ascii="Times New Roman"/>
          <w:b w:val="false"/>
          <w:i w:val="false"/>
          <w:color w:val="000000"/>
          <w:sz w:val="28"/>
        </w:rPr>
        <w:t xml:space="preserve">
      Жер қойнауын пайдаланушы өтінімді ұсынбаған жағдайда уәкілетті орган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талаптарды ескере отырып, Графикке енгізуге жататын мұнай көлемін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қосымшада</w:t>
      </w:r>
      <w:r>
        <w:rPr>
          <w:rFonts w:ascii="Times New Roman"/>
          <w:b w:val="false"/>
          <w:i w:val="false"/>
          <w:color w:val="000000"/>
          <w:sz w:val="28"/>
        </w:rPr>
        <w:t>:</w:t>
      </w:r>
    </w:p>
    <w:bookmarkStart w:name="z9" w:id="2"/>
    <w:p>
      <w:pPr>
        <w:spacing w:after="0"/>
        <w:ind w:left="0"/>
        <w:jc w:val="both"/>
      </w:pPr>
      <w:r>
        <w:rPr>
          <w:rFonts w:ascii="Times New Roman"/>
          <w:b w:val="false"/>
          <w:i w:val="false"/>
          <w:color w:val="000000"/>
          <w:sz w:val="28"/>
        </w:rPr>
        <w:t>
      мұнай беруге өтінім нысанында:</w:t>
      </w:r>
    </w:p>
    <w:bookmarkEnd w:id="2"/>
    <w:bookmarkStart w:name="z10" w:id="3"/>
    <w:p>
      <w:pPr>
        <w:spacing w:after="0"/>
        <w:ind w:left="0"/>
        <w:jc w:val="both"/>
      </w:pPr>
      <w:r>
        <w:rPr>
          <w:rFonts w:ascii="Times New Roman"/>
          <w:b w:val="false"/>
          <w:i w:val="false"/>
          <w:color w:val="000000"/>
          <w:sz w:val="28"/>
        </w:rPr>
        <w:t>
      реттік нөмірі 2.1.5-жол жаңа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шегінен тысқары жерлерде орналасқан басқа мұнай өңдеу зауыттары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1" w:id="4"/>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3"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