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281b" w14:textId="d632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 веб-порталын күтіп-ұстауға, жүргізуге және электрондық ақпараттық ресурстармен ақпараттық толықтыруға қойылатын талаптарды бекіту туралы" Қазақстан Республикасы Инвестициялар және даму министрінің міндетін атқарушы 2016 жылғы 26 қаңтардағы № 74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2024 жылғы 22 шiлдедегi № 435/НҚ бұйрығы. Қазақстан Республикасының Әділет министрлігінде 2024 жылғы 24 шiлдеде № 34790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 веб-порталын күтіп-ұстауға, жүргізуге және электрондық ақпараттық ресурстармен ақпараттық толықтыруға қойылатын талаптарды бекіту туралы" Қазақстан Республикасы Инвестициялар және даму министрінің міндетін атқарушы 2016 жылғы 26 қаңтардағы № 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13193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веб-порталын күтіп-ұстауға, жүргізуге және электрондық ақпараттық ресурстармен ақпараттық толықтыруға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1-1)-тармақша мынадай мазмұнда толықтырылсын: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бизнес-сәйкестендiру нөмiрi (бұдан әрі – БСН) – заңды тұлға (филиал мен өкiлдiк) және қызметiн бiрлескен кәсiпкерлiк түрiнде жүзеге асыратын дара кәсiпкер үшiн қалыптастырылатын бiрегей нөмiр;";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3)-тармақша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жеке сәйкестендiру нөмiрi (бұдан әрі – ЖСН) – жеке тұлға үшiн қалыптастырылатын бiрегей нөмiр;";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3)-тармақша мынадай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ЖСН немесе БСН, көрсетілетін қызметтерді алушы субъектінің абоненттік нөмірі және қысқа мәтіндік хабарлама түріндегі қызметтерді алушы субъектінің абоненттік нөміріне жіберілген бір реттік пароль.".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