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18d2" w14:textId="4b91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бекіту туралы" Қазақстан Республикасының Цифрлық даму, инновациялар және аэроғарыш өнеркәсібі министрінің 2020 жылғы 19 қазандағы № 392/НҚ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25 шiлдедегi № 440/НҚ бұйрығы. Қазақстан Республикасының Әділет министрлігінде 2024 жылғы 29 шiлдеде № 34822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бекіту туралы" Қазақстан Республикасының Цифрлық даму, инновациялар және аэроғарыш өнеркәсібі министрінің 2020 жылғы 19 қазандағы № 392/НҚ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21480 болып тіркелген)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