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f8dd" w14:textId="f82f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26 шiлдедегi № 278 бұйрығы. Қазақстан Республикасының Әділет министрлігінде 2024 жылғы 29 шiлдеде № 34829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26 шілдедегі</w:t>
            </w:r>
            <w:r>
              <w:br/>
            </w:r>
            <w:r>
              <w:rPr>
                <w:rFonts w:ascii="Times New Roman"/>
                <w:b w:val="false"/>
                <w:i w:val="false"/>
                <w:color w:val="000000"/>
                <w:sz w:val="20"/>
              </w:rPr>
              <w:t>№ 278 Бұйрыққа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Өзгерістер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12665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w:t>
      </w:r>
      <w:r>
        <w:rPr>
          <w:rFonts w:ascii="Times New Roman"/>
          <w:b w:val="false"/>
          <w:i w:val="false"/>
          <w:color w:val="000000"/>
          <w:sz w:val="28"/>
        </w:rPr>
        <w:t>мерзімдерінде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 еңбек жөніндегі уәкілетті мемлекеттік органның аумақтық бөлімшесі – еңбек жөніндегі уәкілетті мемлекеттік органның тиісті әкімшілік-аумақтық бірлік шегінде Қазақстан Республикасының заңнамасына сәйкес еңбек қатынастарын реттеу саласындағы өкілеттіктерді жүзеге асыратын құрылымдық бөлімшесі;";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"22. Жауапты жұмыскерлерді еңбек қауіпсіздігі және еңбекті қорғау мәселелері бойынша оқыту (сабақтар, дәрістер, семинарлар) еңбек қауіпсіздігі және еңбекті қорғау саласында жоғары (жоғары оқу орнынан кейінгі) білімі бар, жұмыс тәжірибесі 5 жылдан кем емес және еңбек қауіпсіздігі мен еңбекті қорғау бойынша оқу және білімін тексеруден өткені туралы сертификаты бар мамандарды (келісу бойынша), бейінді оқу орындарының оқытушыларын, заңгерлер мен инженерлік-техникалық жұмыскерлерді және ірі өнеркәсіп ұйымдарының еңбек қауіпсіздігі және еңбекті қорғау қызметтерінің мамандарын тарта отырып жүргізіледі. Оқу процесіне еңбек жөніндегі уәкілетті мемлекеттік органның аумақтық бөлімшесінің келісуі бойынша мемлекеттік еңбек инспекторы тартылады.".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қағидаларын бекіту туралы" Қазақстан Республикасы Денсаулық сақтау және әлеуметтік даму министрінің 2015 жылғы 28 желтоқсандағы № 1037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12659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қағидалары (бұдан әрі – Қағидалар) Қазақстан Республикасының Еңбек кодексінің 16-бабының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"Еңбекті қорғауды басқару жүйесі туралы үлгілік ережені бекіту туралы" Қазақстан Республикасы Еңбек және халықты әлеуметтік қорғау министрінің 2020 жылғы 27 тамыздағы №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21140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Еңбекті қорғауды басқару жүйесі туралы үлгілік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24" w:id="9"/>
    <w:p>
      <w:pPr>
        <w:spacing w:after="0"/>
        <w:ind w:left="0"/>
        <w:jc w:val="both"/>
      </w:pPr>
      <w:r>
        <w:rPr>
          <w:rFonts w:ascii="Times New Roman"/>
          <w:b w:val="false"/>
          <w:i w:val="false"/>
          <w:color w:val="000000"/>
          <w:sz w:val="28"/>
        </w:rPr>
        <w:t>
      "2) еңбек жөніндегі уәкілетті мемлекеттік органның аумақтық бөлімшелерінің нұсқамалары;";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"2) еңбек жөніндегі уәкілетті мемлекеттік органның және оның аумақтық бөлімшелерінің лауазымды адамдарын жазатайым оқиғаларға тергеп-тексеру жүргізу үшін жіберуді қамтамасыз ету;";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8" w:id="11"/>
    <w:p>
      <w:pPr>
        <w:spacing w:after="0"/>
        <w:ind w:left="0"/>
        <w:jc w:val="both"/>
      </w:pPr>
      <w:r>
        <w:rPr>
          <w:rFonts w:ascii="Times New Roman"/>
          <w:b w:val="false"/>
          <w:i w:val="false"/>
          <w:color w:val="000000"/>
          <w:sz w:val="28"/>
        </w:rPr>
        <w:t>
      "30. Ұйымда ҚжЕҚ жағдайына сапалы талдау жүргізу, кәсіптік тәуекелдерді сәйкестендіру, бағалау және басқару, сондай-ақ алдын алу және түзету іс-шараларын жүзеге асыру мақсатында құжаттама жүргізіледі.</w:t>
      </w:r>
    </w:p>
    <w:bookmarkEnd w:id="11"/>
    <w:p>
      <w:pPr>
        <w:spacing w:after="0"/>
        <w:ind w:left="0"/>
        <w:jc w:val="both"/>
      </w:pPr>
      <w:r>
        <w:rPr>
          <w:rFonts w:ascii="Times New Roman"/>
          <w:b w:val="false"/>
          <w:i w:val="false"/>
          <w:color w:val="000000"/>
          <w:sz w:val="28"/>
        </w:rPr>
        <w:t>
      Жұмыс беруші ЕҚБЖ туралы ережеде сыртқы және ішкі құжаттаманың тізбесін, жүргізу нысандарын регламенттеу, ресімдеу, бекіту, тіркеу мерзімдерін, сондай-ақ жауапты адамдар мен бөлімшелерді бекітуді қамтитын құжаттаманы басқару тәртібін әзірлейді, бекітеді және сипаттайды.</w:t>
      </w:r>
    </w:p>
    <w:p>
      <w:pPr>
        <w:spacing w:after="0"/>
        <w:ind w:left="0"/>
        <w:jc w:val="both"/>
      </w:pPr>
      <w:r>
        <w:rPr>
          <w:rFonts w:ascii="Times New Roman"/>
          <w:b w:val="false"/>
          <w:i w:val="false"/>
          <w:color w:val="000000"/>
          <w:sz w:val="28"/>
        </w:rPr>
        <w:t>
      Еңбекті қорғау жөніндегі құжаттама мыналарды қамтиды:</w:t>
      </w:r>
    </w:p>
    <w:p>
      <w:pPr>
        <w:spacing w:after="0"/>
        <w:ind w:left="0"/>
        <w:jc w:val="both"/>
      </w:pPr>
      <w:r>
        <w:rPr>
          <w:rFonts w:ascii="Times New Roman"/>
          <w:b w:val="false"/>
          <w:i w:val="false"/>
          <w:color w:val="000000"/>
          <w:sz w:val="28"/>
        </w:rPr>
        <w:t>
      1) ұйымдастыру-өкімдік және белгілеу сипатындағы құжаттар (бұйрықтар, ережелер, еңбекті қорғау жөніндегі нұсқаулықтар, тәртіптер, регламенттер, бағдарламалар, жоспарлар, тізбелер, тізімдер, қағидалар, нормалар, стандарттар);</w:t>
      </w:r>
    </w:p>
    <w:p>
      <w:pPr>
        <w:spacing w:after="0"/>
        <w:ind w:left="0"/>
        <w:jc w:val="both"/>
      </w:pPr>
      <w:r>
        <w:rPr>
          <w:rFonts w:ascii="Times New Roman"/>
          <w:b w:val="false"/>
          <w:i w:val="false"/>
          <w:color w:val="000000"/>
          <w:sz w:val="28"/>
        </w:rPr>
        <w:t>
      2) ұйымның экономикалық қызмет түріне сәйкес ҚжЕҚ саласындағы нормативтік құқықтық актілер;</w:t>
      </w:r>
    </w:p>
    <w:p>
      <w:pPr>
        <w:spacing w:after="0"/>
        <w:ind w:left="0"/>
        <w:jc w:val="both"/>
      </w:pPr>
      <w:r>
        <w:rPr>
          <w:rFonts w:ascii="Times New Roman"/>
          <w:b w:val="false"/>
          <w:i w:val="false"/>
          <w:color w:val="000000"/>
          <w:sz w:val="28"/>
        </w:rPr>
        <w:t>
      3) тіркеу сипатындағы құжаттар (актілер мен хаттамалар, рұқсат нарядтары, өкімдер, жазатайым оқиғаларды тергеп-тексеру жөніндегі материалдар, өндірістік объектілерге аттестаттау жүргізу және кәсіптік тәуекелдерді бағалау құжаттамасы);</w:t>
      </w:r>
    </w:p>
    <w:p>
      <w:pPr>
        <w:spacing w:after="0"/>
        <w:ind w:left="0"/>
        <w:jc w:val="both"/>
      </w:pPr>
      <w:r>
        <w:rPr>
          <w:rFonts w:ascii="Times New Roman"/>
          <w:b w:val="false"/>
          <w:i w:val="false"/>
          <w:color w:val="000000"/>
          <w:sz w:val="28"/>
        </w:rPr>
        <w:t>
      4) ақпараттық-коммуникациялық сипаттағы құжаттар (жалпымемлекеттік статистикалық байқаудың статистикалық нысандары, лауазымды тұлғалардың тексеру актілері, қауіпсіздік мәселелері бойынша ұйғарымдар, қорытындылар, шағымдар, еңбекті қорғау саласындағы хат-хабарлар, түсіндірме, қызметтік, баяндамалық және талдамалық жазбалар);</w:t>
      </w:r>
    </w:p>
    <w:p>
      <w:pPr>
        <w:spacing w:after="0"/>
        <w:ind w:left="0"/>
        <w:jc w:val="both"/>
      </w:pPr>
      <w:r>
        <w:rPr>
          <w:rFonts w:ascii="Times New Roman"/>
          <w:b w:val="false"/>
          <w:i w:val="false"/>
          <w:color w:val="000000"/>
          <w:sz w:val="28"/>
        </w:rPr>
        <w:t>
      5) есептік құжаттама (жұмыскерлерге медициналық тексеру жүргізу актілері, жұмыскерлер денсаулығының жай-күйі туралы деректерді есепке алу, өндірістік жабдыққа сынақ жүргізу актілері, ЕҚБЖ қолдануын ағымдағы бақылау және талдау нәтижелері, ресми статистикалық есептілік нысандары);</w:t>
      </w:r>
    </w:p>
    <w:p>
      <w:pPr>
        <w:spacing w:after="0"/>
        <w:ind w:left="0"/>
        <w:jc w:val="both"/>
      </w:pPr>
      <w:r>
        <w:rPr>
          <w:rFonts w:ascii="Times New Roman"/>
          <w:b w:val="false"/>
          <w:i w:val="false"/>
          <w:color w:val="000000"/>
          <w:sz w:val="28"/>
        </w:rPr>
        <w:t>
      6) есепке алу құжаттамасы (хаттамалар, журналдар, графиктер).</w:t>
      </w:r>
    </w:p>
    <w:p>
      <w:pPr>
        <w:spacing w:after="0"/>
        <w:ind w:left="0"/>
        <w:jc w:val="both"/>
      </w:pPr>
      <w:r>
        <w:rPr>
          <w:rFonts w:ascii="Times New Roman"/>
          <w:b w:val="false"/>
          <w:i w:val="false"/>
          <w:color w:val="000000"/>
          <w:sz w:val="28"/>
        </w:rPr>
        <w:t>
      ЕҚБЖ құжаттамасы тұрақты түрде өзектендіріледі және белгіленген мерзім ішінде сақталады және жұмыс берушінің еңбекті қорғау саласындағы актісі қабылданғаннан кейін 10 жұмыс күні ішінде қызметкерлердің назарына жеткізіледі.</w:t>
      </w:r>
    </w:p>
    <w:p>
      <w:pPr>
        <w:spacing w:after="0"/>
        <w:ind w:left="0"/>
        <w:jc w:val="both"/>
      </w:pPr>
      <w:r>
        <w:rPr>
          <w:rFonts w:ascii="Times New Roman"/>
          <w:b w:val="false"/>
          <w:i w:val="false"/>
          <w:color w:val="000000"/>
          <w:sz w:val="28"/>
        </w:rPr>
        <w:t>
      ЕҚБЖ тиімді қоланылуын ұйымдағы еңбекті қорғау жағдайы туралы дұрыс статистикалық есептілікті сапалы жүргізу және уақтылы ұсыну арқылы жүзеге асырылады.</w:t>
      </w:r>
    </w:p>
    <w:p>
      <w:pPr>
        <w:spacing w:after="0"/>
        <w:ind w:left="0"/>
        <w:jc w:val="both"/>
      </w:pPr>
      <w:r>
        <w:rPr>
          <w:rFonts w:ascii="Times New Roman"/>
          <w:b w:val="false"/>
          <w:i w:val="false"/>
          <w:color w:val="000000"/>
          <w:sz w:val="28"/>
        </w:rPr>
        <w:t>
      Статистикалық есептілікке мыналар кіреді:</w:t>
      </w:r>
    </w:p>
    <w:p>
      <w:pPr>
        <w:spacing w:after="0"/>
        <w:ind w:left="0"/>
        <w:jc w:val="both"/>
      </w:pPr>
      <w:r>
        <w:rPr>
          <w:rFonts w:ascii="Times New Roman"/>
          <w:b w:val="false"/>
          <w:i w:val="false"/>
          <w:color w:val="000000"/>
          <w:sz w:val="28"/>
        </w:rPr>
        <w:t>
      1) зиянды және басқа да қолайсыз еңбек жағдайларында жұмыс істейтін жұмыскерлердің саны туралы жылдық кезеңділіктегі есеп;</w:t>
      </w:r>
    </w:p>
    <w:p>
      <w:pPr>
        <w:spacing w:after="0"/>
        <w:ind w:left="0"/>
        <w:jc w:val="both"/>
      </w:pPr>
      <w:r>
        <w:rPr>
          <w:rFonts w:ascii="Times New Roman"/>
          <w:b w:val="false"/>
          <w:i w:val="false"/>
          <w:color w:val="000000"/>
          <w:sz w:val="28"/>
        </w:rPr>
        <w:t>
      2) еңбек қызметіне байланысты жарақаттану және факті бойынша кезеңділікпен кәсіптік аурулар туралы есеп.</w:t>
      </w:r>
    </w:p>
    <w:p>
      <w:pPr>
        <w:spacing w:after="0"/>
        <w:ind w:left="0"/>
        <w:jc w:val="both"/>
      </w:pPr>
      <w:r>
        <w:rPr>
          <w:rFonts w:ascii="Times New Roman"/>
          <w:b w:val="false"/>
          <w:i w:val="false"/>
          <w:color w:val="000000"/>
          <w:sz w:val="28"/>
        </w:rPr>
        <w:t>
      Міндетті есептілікті жүзеге асыру шеңберінде жұмыс беруші:</w:t>
      </w:r>
    </w:p>
    <w:p>
      <w:pPr>
        <w:spacing w:after="0"/>
        <w:ind w:left="0"/>
        <w:jc w:val="both"/>
      </w:pPr>
      <w:r>
        <w:rPr>
          <w:rFonts w:ascii="Times New Roman"/>
          <w:b w:val="false"/>
          <w:i w:val="false"/>
          <w:color w:val="000000"/>
          <w:sz w:val="28"/>
        </w:rPr>
        <w:t>
      1) мемлекеттік органдарға еңбек жағдайларының, еңбек қауіпсіздігінің және еңбекті қорғаудың жай-күйін мониторингтеу үшін олардың жазбаша сұрау салуы бойынша ақпаратты;</w:t>
      </w:r>
    </w:p>
    <w:p>
      <w:pPr>
        <w:spacing w:after="0"/>
        <w:ind w:left="0"/>
        <w:jc w:val="both"/>
      </w:pPr>
      <w:r>
        <w:rPr>
          <w:rFonts w:ascii="Times New Roman"/>
          <w:b w:val="false"/>
          <w:i w:val="false"/>
          <w:color w:val="000000"/>
          <w:sz w:val="28"/>
        </w:rPr>
        <w:t>
      2) мониторинг үшін еңбек жөніндегі уәкілетті мемлекеттік органның аумақтық бөлімшесіне ұжымдық шартты (бар болса) ұсынады.</w:t>
      </w:r>
    </w:p>
    <w:p>
      <w:pPr>
        <w:spacing w:after="0"/>
        <w:ind w:left="0"/>
        <w:jc w:val="both"/>
      </w:pPr>
      <w:r>
        <w:rPr>
          <w:rFonts w:ascii="Times New Roman"/>
          <w:b w:val="false"/>
          <w:i w:val="false"/>
          <w:color w:val="000000"/>
          <w:sz w:val="28"/>
        </w:rPr>
        <w:t>
      ЕҚБЖ туралы ережеде ЕҚБЖ құжаттамасын әзірлеу, келісу, бекіту және қайта қарау тәртібі, оны сақтау мерзімдері белгіленеді, басқарудың барлық деңгейлерінде жұмыс беруші айқындайтын ЕҚБЖ құжаттарын әзірлеуді қамтамасыз ететін адамдар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"Еңбек шарттарын есепке алудың бірыңғай жүйесінде еңбек шарты туралы мәліметтерді ұсыну және алу қағидаларын бекіту туралы"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21173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Еңбек шарттарын есепке алудың бірыңғай жүйесінде еңбек шарты туралы мәліметтерді ұсыну және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32" w:id="12"/>
    <w:p>
      <w:pPr>
        <w:spacing w:after="0"/>
        <w:ind w:left="0"/>
        <w:jc w:val="both"/>
      </w:pPr>
      <w:r>
        <w:rPr>
          <w:rFonts w:ascii="Times New Roman"/>
          <w:b w:val="false"/>
          <w:i w:val="false"/>
          <w:color w:val="000000"/>
          <w:sz w:val="28"/>
        </w:rPr>
        <w:t>
      "3) еңбек жөніндегі уәкілетті мемлекеттік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"Тиісті уәкілетті органдардың еңбек қауіпсіздігі және еңбекті қорғау саласындағы нормативтік құқықтық актілерді қабылдау қағидаларын бекіту туралы" Қазақстан Республикасы Премьер-Министрінің орынбасары – Еңбек және халықты әлеуметтік қорғау министрінің 2023 жылғы 27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Тиісті уәкілетті органдардың еңбек қауіпсіздігі және еңбекті қорғау саласындағы нормативтік құқықтық актілерді қабылдау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36" w:id="13"/>
    <w:p>
      <w:pPr>
        <w:spacing w:after="0"/>
        <w:ind w:left="0"/>
        <w:jc w:val="both"/>
      </w:pPr>
      <w:r>
        <w:rPr>
          <w:rFonts w:ascii="Times New Roman"/>
          <w:b w:val="false"/>
          <w:i w:val="false"/>
          <w:color w:val="000000"/>
          <w:sz w:val="28"/>
        </w:rPr>
        <w:t>
      "5) еңбек жөніндегі уәкілетті мемлекеттік орган, еңбек жөніндегі уәкілетті мемлекеттік органның аумақтық бөлімшесі, жұмыс берушілердің және жұмыскерлердің өкілдері арасында еңбек қауіпсіздігі және еңбекті қорғау саласындағы келісілген іс-қимылдарды қамтамасыз ету;".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"Алдын алу шараларын және (немесе) оңалту шараларын жүргізуге жұмсалған шығындарды өтеу қағидаларын бекіту туралы" Қазақстан Республикасы Еңбек және халықты әлеуметтік қорғау министрінің 2024 жылғы 31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33965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Алдын алу шараларын және (немесе) оңалту шараларын жүргізуге жұмсалған шығындарды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40" w:id="14"/>
    <w:p>
      <w:pPr>
        <w:spacing w:after="0"/>
        <w:ind w:left="0"/>
        <w:jc w:val="both"/>
      </w:pPr>
      <w:r>
        <w:rPr>
          <w:rFonts w:ascii="Times New Roman"/>
          <w:b w:val="false"/>
          <w:i w:val="false"/>
          <w:color w:val="000000"/>
          <w:sz w:val="28"/>
        </w:rPr>
        <w:t>
      "3) еңбек жөніндегі уәкілетті мемлекеттік орган (бұдан әрі – уәкілетті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