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734" w14:textId="8f5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кейбiр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30 шiлдедегi № 281 бұйрығы. Қазақстан Республикасының Әділет министрлігінде 2024 жылғы 30 шiлдеде № 34837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"Қандастар мен қоныс аударушыларды қабылдаудың өңірлік квотасына енгізу қағидаларын бекіту туралы" Қазақстан Республикасы Денсаулық сақтау және әлеуметтік даму министрі міндетін атқарушының 2016 жылғы 15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13334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Қандастарды қабылдаудың өңірлік квотасына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Бұрын өңірлік квотаға енгізілмеген және Қазақстан Республикасы Еңбек және халықты әлеуметтік қорғау министрінің 2013 жылғы 22 шілдедегі № 329-Ө-М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Қандас мәртебесін беру немесе ұзарту қағидаларының (Нормативтік құқықтық актілерді мемлекеттік тіркеу тізілімінде № 8624 болып тіркелген) 9-тармағының 1) тармақшасында көзделген шарттарда қандас мәртебесін алған этникалық қазақтар қандастарды қабылдаудың өңірлік квотасына енгізілгеннен кейін келген қандастардың жесірлері мен олардың ортақ балалары және (немесе) ата-анасы Қазақстан Республикасының азаматтығын алғанға дейін Қазақстан Республикасында туылған балалары, сондай-ақ Қазақстан Республикасының аумағында тұратын қандас мәртебесін алған этникалық қазақтар "Қандастарды қабылдаудың өңірлік квотасына енгізу" мемлекеттік қызметін алу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Әлеуметтік кодекстің 112-бабы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өңірлердің халықты әлеуметтік қорғау және жұмыспен қамту мәселелері жөніндегі жергілікті атқарушы органдарына (бұдан әрі – Көрсетілетін қызметті беруші);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"Migration.enbek.kz" 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"Азаматтарға арналған үкімет" мемлекеттік корпорациясы (бұдан әрі – Мемлекеттік корпорация) арқылы;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"электрондық үкіметтің" веб-порталы (бұдан әрі – веб-портал) арқылы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көрсетуге қойылатын негізгі талаптар тізбесінің 8-тармағында көрсетілген құжаттармен қоса,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береді.".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күшінің ұтқырлығын арттыру үшін адамдардың ерікті түрде қоныс аудару қағидаларын бекіту туралы" Қазақстан Республикасы Премьер-Министрінің орынбасары – Еңбек және халықты әлеуметтік қорғау министрінің 2023 жылғы 22 маусымдағы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32880 болып тіркелген) мынадай өзгерістер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Жұмыс күшінің ұтқырлығын арттыру үшін адамдардың ерікті түрде қоныс аудару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Жұмыс күшінің ұтқырлығын арттыру үшін адамдардың ерікті түрде қоныс аудару қағидалары (бұдан әрі – Қағидалар) Қазақстан Республикасы Әлеуметтік кодексінің (бұдан әрі – Әлеуметтік кодекс) 12-бабының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жұмыс күшінің ұтқырлығын арттыру үшін адамдардың ерікті түрде қоныс аудару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Жаңа тұрғылықты жерге келгеннен және өңірлік квотаға енгізілгеннен кейін қандастар мен қоныс аударушыларға және олардың отбасы мүшелеріне Әлеуметтік кодексінің 112-бабы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материалдық көмек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мобильділігін арттыру үшін адамдарды ерікті түрде қоныс аудару шараларына қатысқанға дейін соңғы 36 ай бұрын ерлі-зайыптылар арасындағы некені (ерлі-зайыптылықты) бұзған адамдар азаматтық хал актілерін жазу кітабында некені (ерлі-зайыптылықты) бұзуды мемлекеттік тіркеу туралы анықтаманы ұсынады.".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Көші-қон комитеті Қазақстан Республикасының заңнамасында белгіленген тәртіппен: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 мен Астана, Алматы және Шымкент қалалары әкімдіктерінің назарына жеткізуді қамтамасыз етсін.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