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c78b" w14:textId="9b6c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19 шiлдедегi № 40 қаулысы. Қазақстан Республикасының Әділет министрлігінде 2024 жылғы 1 тамызда № 34873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бағалы қағаздар нарығын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Қазақстан Республикасы Қаржы нарығын реттеу және дамыту агенттігінің ресми интернет-ресурсында ресми жарияланғаннан кейін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40 қаулыға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Республикасының бағалы нарығын реттеу мәселелері бойынша өзгерістер енгізілетін нормативтік құқықтық актілерінің тізбесі </w:t>
      </w:r>
    </w:p>
    <w:bookmarkEnd w:id="6"/>
    <w:p>
      <w:pPr>
        <w:spacing w:after="0"/>
        <w:ind w:left="0"/>
        <w:jc w:val="left"/>
      </w:pPr>
    </w:p>
    <w:p>
      <w:pPr>
        <w:spacing w:after="0"/>
        <w:ind w:left="0"/>
        <w:jc w:val="both"/>
      </w:pPr>
      <w:r>
        <w:rPr>
          <w:rFonts w:ascii="Times New Roman"/>
          <w:b w:val="false"/>
          <w:i w:val="false"/>
          <w:color w:val="000000"/>
          <w:sz w:val="28"/>
        </w:rPr>
        <w:t xml:space="preserve">
      1. "Екінші деңгейдегі банктердің, Қазақстан Республикасының бейрезидент - банктері филиалдарының бағалы қағаздар нарығында брокерлік және (немесе) дилерлік қызметті жүзеге асыра алатын туынды бағалы қағаздар мен туынды қаржы құралдары базалық активтерінің тізбесін және оларды сатып алу тәртібін,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сондай-ақ екінші деңгейдегі банктер брокерлік қызметті жүзеге асыра алатын өлшем шарттарды белгілеу туралы" Қазақстан Республикасы Қаржы нарығын реттеу және дамыту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Базалық активтері осы қаулының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туынды қаржы құралдарымен мәмілелер ұйымдастырылмаған нарықта мәмілелер жасау жағдайларын қоспағанда, Қазақстан Республикасының ұйымдастырылған бағалы қағаздар нарығында және (немесе)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мынадай жағдайлардың бірін сақталған кезде жасалады:</w:t>
      </w:r>
    </w:p>
    <w:p>
      <w:pPr>
        <w:spacing w:after="0"/>
        <w:ind w:left="0"/>
        <w:jc w:val="both"/>
      </w:pPr>
      <w:r>
        <w:rPr>
          <w:rFonts w:ascii="Times New Roman"/>
          <w:b w:val="false"/>
          <w:i w:val="false"/>
          <w:color w:val="000000"/>
          <w:sz w:val="28"/>
        </w:rPr>
        <w:t>
      1) Standard &amp; Poor's агенттігінің халықаралық шәкілі бойынша "ВВВ-" төмен емес рейтингісі немесе Moody's Investors Service және Fitch агенттіктерінің осындай деңгейдегі рейтингісі бар ұйым болып табылатын Қазақстан Республикасының резиденті емес қарсы әріптесі не Standard &amp; Poor's және Fitch рейтингілік агенттіктерінің жіктеуі бойынша "ВВ-" төмен емес немесе Moody's Investors Service рейтингілік агенттігінің жіктеуі бойынша "Ва3" төмен емес рейтингісі не жоғарыда көрсетілген рейтингілік агенттіктердің ұлттық шәкілі бойынша "kzBBB" төмен емес рейтингілік бағасы бар ұйым болып табылатын Қазақстан Республикасының резидент қарсы әріптесі;</w:t>
      </w:r>
    </w:p>
    <w:p>
      <w:pPr>
        <w:spacing w:after="0"/>
        <w:ind w:left="0"/>
        <w:jc w:val="both"/>
      </w:pPr>
      <w:r>
        <w:rPr>
          <w:rFonts w:ascii="Times New Roman"/>
          <w:b w:val="false"/>
          <w:i w:val="false"/>
          <w:color w:val="000000"/>
          <w:sz w:val="28"/>
        </w:rPr>
        <w:t>
      2) Bloomberg немесе Reuters ақпараттық талдау жүйелерінде сатып алуға және (немесе) сатуға баға белгілеулері бар, не осындай баға белгілеулері болмаған жағдайда Standard &amp; Poor's агенттігінің халықаралық шәкілі бойынша "ВВВ-" төмен емес рейтингісі немесе Мoody's Investors Service және Fitch агенттіктерінің осындай деңгейдегі рейтингісі бар үш түрлі қарсы әріптестің кемінде үш баға белгілеуі бар;</w:t>
      </w:r>
    </w:p>
    <w:p>
      <w:pPr>
        <w:spacing w:after="0"/>
        <w:ind w:left="0"/>
        <w:jc w:val="both"/>
      </w:pPr>
      <w:r>
        <w:rPr>
          <w:rFonts w:ascii="Times New Roman"/>
          <w:b w:val="false"/>
          <w:i w:val="false"/>
          <w:color w:val="000000"/>
          <w:sz w:val="28"/>
        </w:rPr>
        <w:t xml:space="preserve">
      3) туынды қаржы құралдарының базалық активі Қазақстан Республикасының ұйымдастырылған бағалы қағаздар нарығында және (немесе) № 170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айналысқа жіберілген;</w:t>
      </w:r>
    </w:p>
    <w:p>
      <w:pPr>
        <w:spacing w:after="0"/>
        <w:ind w:left="0"/>
        <w:jc w:val="both"/>
      </w:pPr>
      <w:r>
        <w:rPr>
          <w:rFonts w:ascii="Times New Roman"/>
          <w:b w:val="false"/>
          <w:i w:val="false"/>
          <w:color w:val="000000"/>
          <w:sz w:val="28"/>
        </w:rPr>
        <w:t>
      4) екінші деңгейдегі банктің аудитін жүзеге асыратын аудиторлық ұйым аудиторлық ұйымның мыналар туралы оң пікірін білдіруді көздейтін есепті ұсынған жағдайда:</w:t>
      </w:r>
    </w:p>
    <w:p>
      <w:pPr>
        <w:spacing w:after="0"/>
        <w:ind w:left="0"/>
        <w:jc w:val="both"/>
      </w:pPr>
      <w:r>
        <w:rPr>
          <w:rFonts w:ascii="Times New Roman"/>
          <w:b w:val="false"/>
          <w:i w:val="false"/>
          <w:color w:val="000000"/>
          <w:sz w:val="28"/>
        </w:rPr>
        <w:t>
      екінші деңгейдегі банктің туынды қаржы құралын бағалау әдістемелері;</w:t>
      </w:r>
    </w:p>
    <w:p>
      <w:pPr>
        <w:spacing w:after="0"/>
        <w:ind w:left="0"/>
        <w:jc w:val="both"/>
      </w:pPr>
      <w:r>
        <w:rPr>
          <w:rFonts w:ascii="Times New Roman"/>
          <w:b w:val="false"/>
          <w:i w:val="false"/>
          <w:color w:val="000000"/>
          <w:sz w:val="28"/>
        </w:rPr>
        <w:t>
      кредиттік шығындарды, пайыздық мөлшерлемелерді немесе дисконттау мөлшерлемелерін бағалауға қатысты жасалған олқылықтар туралы ақпаратты қоса алғанда, туынды қаржы құралының құнын айқындау кезінде пайдаланылған олқылықтар;</w:t>
      </w:r>
    </w:p>
    <w:p>
      <w:pPr>
        <w:spacing w:after="0"/>
        <w:ind w:left="0"/>
        <w:jc w:val="both"/>
      </w:pPr>
      <w:r>
        <w:rPr>
          <w:rFonts w:ascii="Times New Roman"/>
          <w:b w:val="false"/>
          <w:i w:val="false"/>
          <w:color w:val="000000"/>
          <w:sz w:val="28"/>
        </w:rPr>
        <w:t>
      екінші деңгейдегі банк жүргізген стресс тестілеу, сезімталдықты талдау нәтижелері.</w:t>
      </w:r>
    </w:p>
    <w:p>
      <w:pPr>
        <w:spacing w:after="0"/>
        <w:ind w:left="0"/>
        <w:jc w:val="both"/>
      </w:pPr>
      <w:r>
        <w:rPr>
          <w:rFonts w:ascii="Times New Roman"/>
          <w:b w:val="false"/>
          <w:i w:val="false"/>
          <w:color w:val="000000"/>
          <w:sz w:val="28"/>
        </w:rPr>
        <w:t>
      Екінші деңгейдегі банктер базалық активі төмендегі ұйымдардың кредиттік тәуекелі болып табылатын туынды бағалы қағаздармен және туынды қаржы құралдарымен брокерлік және (немесе) дилерлік қызметті жүзеге асырады:</w:t>
      </w:r>
    </w:p>
    <w:p>
      <w:pPr>
        <w:spacing w:after="0"/>
        <w:ind w:left="0"/>
        <w:jc w:val="both"/>
      </w:pPr>
      <w:r>
        <w:rPr>
          <w:rFonts w:ascii="Times New Roman"/>
          <w:b w:val="false"/>
          <w:i w:val="false"/>
          <w:color w:val="000000"/>
          <w:sz w:val="28"/>
        </w:rPr>
        <w:t>
      1) Standard &amp; Poors және "Ғitch" рейтингілік агенттіктерінің жіктеуі бойынша халықаралық шәкіл бойынша "ВВ-" төмен емес немесе Moody's Investors Service рейтингілік агенттігінің жіктеуі бойынша "Ва3" төмен емес кредиттік рейтингісі, не жоғарыда көрсетілген рейтингілік агенттіктерінің ұлттық шәкілі бойынша "kzВВВ" төмен емес рейтингілік бағасы бар Қазақстан Республикасының резиденттері;</w:t>
      </w:r>
    </w:p>
    <w:p>
      <w:pPr>
        <w:spacing w:after="0"/>
        <w:ind w:left="0"/>
        <w:jc w:val="both"/>
      </w:pPr>
      <w:r>
        <w:rPr>
          <w:rFonts w:ascii="Times New Roman"/>
          <w:b w:val="false"/>
          <w:i w:val="false"/>
          <w:color w:val="000000"/>
          <w:sz w:val="28"/>
        </w:rPr>
        <w:t>
      2) Standard &amp; Poors және Ғitch рейтингілік агенттіктерінің жіктеуі бойынша халықаралық шәкіл бойынша "ВВВ-" төмен емес немесе Moody's Investors Service рейтингілік агенттігінің жіктеуі бойынша "ВВа3" төмен емес рейтингісі бар Қазақстан Республикасының резиденті еместер;</w:t>
      </w:r>
    </w:p>
    <w:p>
      <w:pPr>
        <w:spacing w:after="0"/>
        <w:ind w:left="0"/>
        <w:jc w:val="both"/>
      </w:pPr>
      <w:r>
        <w:rPr>
          <w:rFonts w:ascii="Times New Roman"/>
          <w:b w:val="false"/>
          <w:i w:val="false"/>
          <w:color w:val="000000"/>
          <w:sz w:val="28"/>
        </w:rPr>
        <w:t xml:space="preserve">
      3) туынды қаржы құралдарының базалық активі № 170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ұйымдастырылған бағалы қағаздар нарығында және (немесе) халықаралық қор биржалары танитын, халықаралық қор биржалары танитын сауда-саттықты ұйымдастырушылар тізімінде көрсетілген сауда-саттықты ұйымдастырушылар жүйесінде айналысқа жіберілді.";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қаржы құралдарынан басқа өзге де қаржы құралдарымен (бұдан әрі – өзге де қаржы құралдары) мәмілелерді екінші деңгейдегі банк Қазақстан Республикасының бағалы қағаздар рыногы туралы заңнамасына сәйкес брокерлік қызмет шеңберінде осындай мәмілелерді жасау ниеті туралы қаржы нарығын мен қаржы ұйымдарын реттеу, бақылау және қадағалау жөніндегі уәкілетті органға (бұдан әрі – уәкілетті орган) хабарлама берген күні мына өлшемшарттарды сақтаған жағдайда жасайды:</w:t>
      </w:r>
    </w:p>
    <w:p>
      <w:pPr>
        <w:spacing w:after="0"/>
        <w:ind w:left="0"/>
        <w:jc w:val="both"/>
      </w:pPr>
      <w:r>
        <w:rPr>
          <w:rFonts w:ascii="Times New Roman"/>
          <w:b w:val="false"/>
          <w:i w:val="false"/>
          <w:color w:val="000000"/>
          <w:sz w:val="28"/>
        </w:rPr>
        <w:t>
      1) екінші деңгейдегі банкте уәкілетті органның брокерлік қызметті жүзеге асыруға лицензиясы болса;</w:t>
      </w:r>
    </w:p>
    <w:p>
      <w:pPr>
        <w:spacing w:after="0"/>
        <w:ind w:left="0"/>
        <w:jc w:val="both"/>
      </w:pPr>
      <w:r>
        <w:rPr>
          <w:rFonts w:ascii="Times New Roman"/>
          <w:b w:val="false"/>
          <w:i w:val="false"/>
          <w:color w:val="000000"/>
          <w:sz w:val="28"/>
        </w:rPr>
        <w:t>
      2) банктің ағымдағы өтімділік коэффициентінің k4 мәні кем дегенде 0,6 болса.</w:t>
      </w:r>
    </w:p>
    <w:p>
      <w:pPr>
        <w:spacing w:after="0"/>
        <w:ind w:left="0"/>
        <w:jc w:val="both"/>
      </w:pPr>
      <w:r>
        <w:rPr>
          <w:rFonts w:ascii="Times New Roman"/>
          <w:b w:val="false"/>
          <w:i w:val="false"/>
          <w:color w:val="000000"/>
          <w:sz w:val="28"/>
        </w:rPr>
        <w:t xml:space="preserve">
      Екінші деңгейдегі банк клиенттердің есебінен және олардың мүддесі үшін өзге де қаржы құралдарымен мәмілелер жасасуға ниетті болған кезде екінші деңгейдегі банк осы қызметті жүзеге асыра бастаған күннен бастап күнтізбелік 30 (отыз) күн ішінде уәкілетті органды көрсетілген өлшемшарттардың сақталуы туралы ақпаратты көрсете отырып осындай ниеті туралы хабардар етеді. </w:t>
      </w:r>
    </w:p>
    <w:p>
      <w:pPr>
        <w:spacing w:after="0"/>
        <w:ind w:left="0"/>
        <w:jc w:val="both"/>
      </w:pPr>
      <w:r>
        <w:rPr>
          <w:rFonts w:ascii="Times New Roman"/>
          <w:b w:val="false"/>
          <w:i w:val="false"/>
          <w:color w:val="000000"/>
          <w:sz w:val="28"/>
        </w:rPr>
        <w:t>
      Екінші деңгейдегі банк көрсетілген өлшемшарттарға сәйкес келмеуді анықтаған жағдайда, осындай сәйкес келмеу фактісі туралы уәкілетті органды тез арада хабардар етеді және аталған сәйкес келмеу анықталған күннен бастап өзге де қаржы құралдарын сатып алу бойынша брокерлік қызмет шеңберінде жаңа мәмілелер жасамайды.".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"4-2. Қағидалардың мақсаттары үшін уәкілетті орган мынадай өлшемшарттарға сәйкес келетін рейтингтік агенттіктердің рейтингтік бағаларын таниды:</w:t>
      </w:r>
    </w:p>
    <w:bookmarkEnd w:id="7"/>
    <w:p>
      <w:pPr>
        <w:spacing w:after="0"/>
        <w:ind w:left="0"/>
        <w:jc w:val="both"/>
      </w:pPr>
      <w:r>
        <w:rPr>
          <w:rFonts w:ascii="Times New Roman"/>
          <w:b w:val="false"/>
          <w:i w:val="false"/>
          <w:color w:val="000000"/>
          <w:sz w:val="28"/>
        </w:rPr>
        <w:t>
      1) рейтингтік агенттік шыққан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уәкілетті органға рейтингтік агенттіктің осы тармақтың 1), 2), 3), 4) және 5) тармақшаларында белгіленген өлшемдерге сәйкес келуін растайтын құжаттарды қоса бере отырып, пруденциялық реттеу мақсаттары үшін рейтингтік агенттіктің рейтингтік бағаларын қабылдау туралы сұрау салуды жібереді.</w:t>
      </w:r>
    </w:p>
    <w:p>
      <w:pPr>
        <w:spacing w:after="0"/>
        <w:ind w:left="0"/>
        <w:jc w:val="both"/>
      </w:pPr>
      <w:r>
        <w:rPr>
          <w:rFonts w:ascii="Times New Roman"/>
          <w:b w:val="false"/>
          <w:i w:val="false"/>
          <w:color w:val="000000"/>
          <w:sz w:val="28"/>
        </w:rPr>
        <w:t>
      Рейтингтік агенттік осы тармақтың 1), 2), 3), 4) және 5) тармақшаларында белгіленген өлшемдерге сәйкес келген кезде уәкілетті орган ресми интернет-ресурста рейтингтік агенттіктің оның рейтингтік бағаларын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Рейтингктік агенттік қолданатын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"8-2. Қағидалардың мақсаттары үшін уәкілетті орган мынадай өлшемшарттарға сәйкес келетін рейтингтік агенттіктердің рейтингтік бағаларын таниды:</w:t>
      </w:r>
    </w:p>
    <w:bookmarkEnd w:id="8"/>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дефолт туралы тарихи және (немесе) күтілетін деректер негізінде тексерілуге тиіс,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рейтингтік агенттіктің қызметіне араласпайтын және рейтингтерді беру процестеріне ықпалы жоқ мемлекеттік органдар немесе мемлекеттік органдардағы лауазымды адамдар, квазимемлекеттік сектор субъектілері немесе саяси партиялар бақыламайды;</w:t>
      </w:r>
    </w:p>
    <w:p>
      <w:pPr>
        <w:spacing w:after="0"/>
        <w:ind w:left="0"/>
        <w:jc w:val="both"/>
      </w:pPr>
      <w:r>
        <w:rPr>
          <w:rFonts w:ascii="Times New Roman"/>
          <w:b w:val="false"/>
          <w:i w:val="false"/>
          <w:color w:val="000000"/>
          <w:sz w:val="28"/>
        </w:rPr>
        <w:t>
      рейтингтік агенттік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конфиденциалдылығын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көлемінің бес және одан да көп пайызын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уәкілетті органға рейтингтік агенттіктің осы тармақтың 1), 2), 3), 4) және 5) тармақшаларында белгіленген өлшемдерге сәйкес келуін растайтын құжаттарды қоса бере отырып, пруденциялық реттеу мақсаттары үшін рейтингтік агенттіктің рейтингтік бағаларын қабылдау туралы сұрау салуды жібереді.</w:t>
      </w:r>
    </w:p>
    <w:p>
      <w:pPr>
        <w:spacing w:after="0"/>
        <w:ind w:left="0"/>
        <w:jc w:val="both"/>
      </w:pPr>
      <w:r>
        <w:rPr>
          <w:rFonts w:ascii="Times New Roman"/>
          <w:b w:val="false"/>
          <w:i w:val="false"/>
          <w:color w:val="000000"/>
          <w:sz w:val="28"/>
        </w:rPr>
        <w:t>
      Рейтингтік агенттік осы тармақтың 1), 2), 3), 4) және 5) тармақшаларында белгіленген өлшемдерге сәйкес келген кезде уәкілетті орган ресми интернет-ресурста рейтингтік агенттіктің оның рейтингтік бағалрын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Рейтингктік агенттік қолданатын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